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8BEF3" w14:textId="77777777" w:rsidR="00EB6BB0" w:rsidRPr="009C46EB" w:rsidRDefault="00EB6BB0" w:rsidP="00EB6BB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9C46EB">
        <w:rPr>
          <w:rFonts w:ascii="Arial" w:eastAsia="Arial" w:hAnsi="Arial" w:cs="Arial"/>
          <w:b/>
          <w:u w:val="single"/>
        </w:rPr>
        <w:t>ANEXO 1</w:t>
      </w:r>
    </w:p>
    <w:p w14:paraId="4F924000" w14:textId="77777777" w:rsidR="00EB6BB0" w:rsidRPr="009C46EB" w:rsidRDefault="00EB6BB0" w:rsidP="00EB6BB0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38AE2408" w14:textId="77777777" w:rsidR="00EB6BB0" w:rsidRPr="009C46EB" w:rsidRDefault="00EB6BB0" w:rsidP="00EB6BB0">
      <w:pPr>
        <w:widowControl w:val="0"/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0BA90D31" w14:textId="4FCCD8D4" w:rsidR="00EB6BB0" w:rsidRPr="009C46EB" w:rsidRDefault="00EB6BB0" w:rsidP="00EB6BB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u w:val="single"/>
        </w:rPr>
      </w:pPr>
      <w:bookmarkStart w:id="0" w:name="_gjdgxs" w:colFirst="0" w:colLast="0"/>
      <w:bookmarkEnd w:id="0"/>
      <w:r w:rsidRPr="009C46EB">
        <w:rPr>
          <w:rFonts w:ascii="Arial" w:eastAsia="Arial" w:hAnsi="Arial" w:cs="Arial"/>
          <w:b/>
          <w:u w:val="single"/>
        </w:rPr>
        <w:t>OFICIO NÚM. CGSPM/DMU/AD/</w:t>
      </w:r>
      <w:r w:rsidR="006F380A" w:rsidRPr="009C46EB">
        <w:rPr>
          <w:rFonts w:ascii="Arial" w:eastAsia="Arial" w:hAnsi="Arial" w:cs="Arial"/>
          <w:b/>
          <w:u w:val="single"/>
        </w:rPr>
        <w:t>0</w:t>
      </w:r>
      <w:r w:rsidR="009C46EB" w:rsidRPr="009C46EB">
        <w:rPr>
          <w:rFonts w:ascii="Arial" w:eastAsia="Arial" w:hAnsi="Arial" w:cs="Arial"/>
          <w:b/>
          <w:u w:val="single"/>
        </w:rPr>
        <w:t>4</w:t>
      </w:r>
      <w:r w:rsidR="006F380A" w:rsidRPr="009C46EB">
        <w:rPr>
          <w:rFonts w:ascii="Arial" w:eastAsia="Arial" w:hAnsi="Arial" w:cs="Arial"/>
          <w:b/>
          <w:u w:val="single"/>
        </w:rPr>
        <w:t>8/2021-B</w:t>
      </w:r>
      <w:r w:rsidRPr="009C46EB">
        <w:rPr>
          <w:rFonts w:ascii="Arial" w:eastAsia="Arial" w:hAnsi="Arial" w:cs="Arial"/>
          <w:b/>
          <w:u w:val="single"/>
        </w:rPr>
        <w:t xml:space="preserve">  REQUISICIÓN</w:t>
      </w:r>
      <w:r w:rsidR="006F380A" w:rsidRPr="009C46EB">
        <w:rPr>
          <w:rFonts w:ascii="Arial" w:eastAsia="Arial" w:hAnsi="Arial" w:cs="Arial"/>
          <w:b/>
          <w:u w:val="single"/>
        </w:rPr>
        <w:t xml:space="preserve"> 1</w:t>
      </w:r>
      <w:r w:rsidR="009C46EB" w:rsidRPr="009C46EB">
        <w:rPr>
          <w:rFonts w:ascii="Arial" w:eastAsia="Arial" w:hAnsi="Arial" w:cs="Arial"/>
          <w:b/>
          <w:u w:val="single"/>
        </w:rPr>
        <w:t>262</w:t>
      </w:r>
    </w:p>
    <w:p w14:paraId="6F6BD2CF" w14:textId="77777777" w:rsidR="00EB6BB0" w:rsidRPr="009C46EB" w:rsidRDefault="00EB6BB0" w:rsidP="00EB6B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16835061" w14:textId="77777777" w:rsidR="00EB6BB0" w:rsidRPr="009C46EB" w:rsidRDefault="00EB6BB0" w:rsidP="00EB6B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46AF5269" w14:textId="77777777" w:rsidR="00EB6BB0" w:rsidRPr="009C46EB" w:rsidRDefault="002874BC" w:rsidP="00EB6BB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C46EB">
        <w:rPr>
          <w:rFonts w:ascii="Arial" w:eastAsia="Arial" w:hAnsi="Arial" w:cs="Arial"/>
          <w:b/>
          <w:color w:val="000000"/>
        </w:rPr>
        <w:t>0</w:t>
      </w:r>
      <w:r w:rsidR="001F71AA" w:rsidRPr="009C46EB">
        <w:rPr>
          <w:rFonts w:ascii="Arial" w:eastAsia="Arial" w:hAnsi="Arial" w:cs="Arial"/>
          <w:b/>
          <w:color w:val="000000"/>
        </w:rPr>
        <w:t xml:space="preserve">800 </w:t>
      </w:r>
      <w:r w:rsidR="00EB6BB0" w:rsidRPr="009C46EB">
        <w:rPr>
          <w:rFonts w:ascii="Arial" w:eastAsia="Arial" w:hAnsi="Arial" w:cs="Arial"/>
          <w:b/>
          <w:color w:val="000000"/>
        </w:rPr>
        <w:t>COORDINACION GENERAL DE SERVICIOS PUBLICOS MUNICIPALES</w:t>
      </w:r>
    </w:p>
    <w:p w14:paraId="4EF95053" w14:textId="77777777" w:rsidR="00EB6BB0" w:rsidRPr="009C46EB" w:rsidRDefault="00EB6BB0" w:rsidP="00EB6B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4D8B533F" w14:textId="5840AFA5" w:rsidR="00EB6BB0" w:rsidRPr="009C46EB" w:rsidRDefault="003232AE" w:rsidP="00EB6BB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C46EB">
        <w:rPr>
          <w:rFonts w:ascii="Arial" w:eastAsia="Arial" w:hAnsi="Arial" w:cs="Arial"/>
          <w:b/>
          <w:color w:val="000000"/>
        </w:rPr>
        <w:t>0851 DIRECCION</w:t>
      </w:r>
      <w:r w:rsidR="00EB6BB0" w:rsidRPr="009C46EB">
        <w:rPr>
          <w:rFonts w:ascii="Arial" w:eastAsia="Arial" w:hAnsi="Arial" w:cs="Arial"/>
          <w:b/>
          <w:color w:val="000000"/>
        </w:rPr>
        <w:t xml:space="preserve"> DE MANTENIMIENTO </w:t>
      </w:r>
      <w:r w:rsidR="002874BC" w:rsidRPr="009C46EB">
        <w:rPr>
          <w:rFonts w:ascii="Arial" w:eastAsia="Arial" w:hAnsi="Arial" w:cs="Arial"/>
          <w:b/>
          <w:color w:val="000000"/>
        </w:rPr>
        <w:t>URBANO</w:t>
      </w:r>
    </w:p>
    <w:p w14:paraId="75058295" w14:textId="77777777" w:rsidR="00EB6BB0" w:rsidRPr="009C46EB" w:rsidRDefault="00EB6BB0" w:rsidP="00EB6B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6F6F8124" w14:textId="21154F54" w:rsidR="00EB6BB0" w:rsidRPr="009C46EB" w:rsidRDefault="00EB6BB0" w:rsidP="00EB6BB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C46EB">
        <w:rPr>
          <w:rFonts w:ascii="Arial" w:eastAsia="Arial" w:hAnsi="Arial" w:cs="Arial"/>
          <w:b/>
          <w:color w:val="000000"/>
        </w:rPr>
        <w:t xml:space="preserve">Objetivo del </w:t>
      </w:r>
      <w:r w:rsidR="0056796D">
        <w:rPr>
          <w:rFonts w:ascii="Arial" w:eastAsia="Arial" w:hAnsi="Arial" w:cs="Arial"/>
          <w:b/>
          <w:color w:val="000000"/>
        </w:rPr>
        <w:t>servicio</w:t>
      </w:r>
      <w:bookmarkStart w:id="1" w:name="_GoBack"/>
      <w:bookmarkEnd w:id="1"/>
      <w:r w:rsidRPr="009C46EB">
        <w:rPr>
          <w:rFonts w:ascii="Arial" w:eastAsia="Arial" w:hAnsi="Arial" w:cs="Arial"/>
          <w:b/>
          <w:color w:val="000000"/>
        </w:rPr>
        <w:t>:</w:t>
      </w:r>
      <w:r w:rsidRPr="009C46EB">
        <w:rPr>
          <w:rFonts w:ascii="Arial" w:hAnsi="Arial" w:cs="Arial"/>
          <w:bCs/>
          <w:color w:val="000000"/>
          <w:lang w:val="es-ES"/>
        </w:rPr>
        <w:t xml:space="preserve"> </w:t>
      </w:r>
      <w:bookmarkStart w:id="2" w:name="_Hlk87637129"/>
      <w:r w:rsidR="006517B5" w:rsidRPr="009C46EB">
        <w:rPr>
          <w:rFonts w:ascii="Arial" w:hAnsi="Arial" w:cs="Arial"/>
          <w:bCs/>
          <w:color w:val="000000"/>
        </w:rPr>
        <w:t xml:space="preserve">Servicio, manejo, recolección y disposición final de </w:t>
      </w:r>
      <w:r w:rsidR="004845F2" w:rsidRPr="009C46EB">
        <w:rPr>
          <w:rFonts w:ascii="Arial" w:hAnsi="Arial" w:cs="Arial"/>
          <w:bCs/>
          <w:color w:val="000000"/>
        </w:rPr>
        <w:t>desechos la</w:t>
      </w:r>
      <w:r w:rsidRPr="009C46EB">
        <w:rPr>
          <w:rFonts w:ascii="Arial" w:hAnsi="Arial" w:cs="Arial"/>
          <w:bCs/>
          <w:color w:val="000000"/>
        </w:rPr>
        <w:t xml:space="preserve"> vía pública.</w:t>
      </w:r>
    </w:p>
    <w:bookmarkEnd w:id="2"/>
    <w:p w14:paraId="23BA3B64" w14:textId="77777777" w:rsidR="00EB6BB0" w:rsidRPr="009C46EB" w:rsidRDefault="00EB6BB0" w:rsidP="00EB6B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3A8521CD" w14:textId="6E7CA522" w:rsidR="00EB6BB0" w:rsidRPr="009C46EB" w:rsidRDefault="00EB6BB0" w:rsidP="00EB6BB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Arial" w:eastAsia="Arial" w:hAnsi="Arial" w:cs="Arial"/>
          <w:b/>
          <w:color w:val="000000"/>
        </w:rPr>
      </w:pPr>
      <w:r w:rsidRPr="009C46EB">
        <w:rPr>
          <w:rFonts w:ascii="Arial" w:eastAsia="Arial" w:hAnsi="Arial" w:cs="Arial"/>
          <w:b/>
          <w:color w:val="000000"/>
        </w:rPr>
        <w:t xml:space="preserve">Objeto del servicio: </w:t>
      </w:r>
      <w:bookmarkStart w:id="3" w:name="_Hlk87637265"/>
      <w:r w:rsidRPr="009C46EB">
        <w:rPr>
          <w:rFonts w:ascii="Arial" w:hAnsi="Arial" w:cs="Arial"/>
          <w:bCs/>
          <w:color w:val="000000"/>
        </w:rPr>
        <w:t xml:space="preserve">Proporcionar a la Ciudadanía una imagen diferente de la Ciudad </w:t>
      </w:r>
      <w:r w:rsidR="00970881" w:rsidRPr="009C46EB">
        <w:rPr>
          <w:rFonts w:ascii="Arial" w:hAnsi="Arial" w:cs="Arial"/>
          <w:bCs/>
          <w:color w:val="000000"/>
        </w:rPr>
        <w:t>manteniendo la armonía en sus vialidades</w:t>
      </w:r>
      <w:r w:rsidRPr="009C46EB">
        <w:rPr>
          <w:rFonts w:ascii="Arial" w:hAnsi="Arial" w:cs="Arial"/>
          <w:bCs/>
          <w:color w:val="000000"/>
        </w:rPr>
        <w:t xml:space="preserve">, </w:t>
      </w:r>
      <w:r w:rsidR="00970881" w:rsidRPr="009C46EB">
        <w:rPr>
          <w:rFonts w:ascii="Arial" w:hAnsi="Arial" w:cs="Arial"/>
          <w:bCs/>
          <w:color w:val="000000"/>
        </w:rPr>
        <w:t xml:space="preserve">mejorando su entorno </w:t>
      </w:r>
      <w:r w:rsidRPr="009C46EB">
        <w:rPr>
          <w:rFonts w:ascii="Arial" w:hAnsi="Arial" w:cs="Arial"/>
          <w:bCs/>
          <w:color w:val="000000"/>
        </w:rPr>
        <w:t>logrando con esto que las familias se sientan seguras en un ambiente limpio</w:t>
      </w:r>
      <w:r w:rsidR="00970881" w:rsidRPr="009C46EB">
        <w:rPr>
          <w:rFonts w:ascii="Arial" w:hAnsi="Arial" w:cs="Arial"/>
          <w:bCs/>
          <w:color w:val="000000"/>
        </w:rPr>
        <w:t xml:space="preserve"> y facilitando </w:t>
      </w:r>
      <w:r w:rsidR="00DC2CDE" w:rsidRPr="009C46EB">
        <w:rPr>
          <w:rFonts w:ascii="Arial" w:hAnsi="Arial" w:cs="Arial"/>
          <w:bCs/>
          <w:color w:val="000000"/>
        </w:rPr>
        <w:t>su traslado</w:t>
      </w:r>
      <w:r w:rsidR="00970881" w:rsidRPr="009C46EB">
        <w:rPr>
          <w:rFonts w:ascii="Arial" w:hAnsi="Arial" w:cs="Arial"/>
          <w:bCs/>
          <w:color w:val="000000"/>
        </w:rPr>
        <w:t xml:space="preserve"> </w:t>
      </w:r>
      <w:r w:rsidRPr="009C46EB">
        <w:rPr>
          <w:rFonts w:ascii="Arial" w:hAnsi="Arial" w:cs="Arial"/>
          <w:bCs/>
          <w:color w:val="000000"/>
        </w:rPr>
        <w:t>en nuestros espacios públicos, además del cumplimiento de las actividades correspondientes a esta dependencia por ser mantenimiento urbano de esta ciudad</w:t>
      </w:r>
      <w:r w:rsidRPr="009C46EB">
        <w:rPr>
          <w:rFonts w:ascii="Arial" w:eastAsia="Arial" w:hAnsi="Arial" w:cs="Arial"/>
          <w:b/>
          <w:color w:val="000000"/>
        </w:rPr>
        <w:t>.</w:t>
      </w:r>
    </w:p>
    <w:bookmarkEnd w:id="3"/>
    <w:p w14:paraId="206E9156" w14:textId="77777777" w:rsidR="00EB6BB0" w:rsidRPr="009C46EB" w:rsidRDefault="00EB6BB0" w:rsidP="00EB6BB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eastAsia="Arial" w:hAnsi="Arial" w:cs="Arial"/>
          <w:b/>
          <w:color w:val="000000"/>
        </w:rPr>
      </w:pPr>
    </w:p>
    <w:p w14:paraId="4CCA5E3E" w14:textId="77777777" w:rsidR="00EB6BB0" w:rsidRPr="009C46EB" w:rsidRDefault="00EB6BB0" w:rsidP="00EB6BB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C46EB">
        <w:rPr>
          <w:rFonts w:ascii="Arial" w:eastAsia="Arial" w:hAnsi="Arial" w:cs="Arial"/>
          <w:b/>
          <w:color w:val="000000"/>
        </w:rPr>
        <w:t>Especificaciones técnicas mínimas requeridas:</w:t>
      </w:r>
    </w:p>
    <w:p w14:paraId="1048FDA4" w14:textId="77777777" w:rsidR="00EB6BB0" w:rsidRPr="009C46EB" w:rsidRDefault="00EB6BB0" w:rsidP="00EB6BB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highlight w:val="yellow"/>
        </w:rPr>
      </w:pPr>
    </w:p>
    <w:tbl>
      <w:tblPr>
        <w:tblW w:w="9497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8379"/>
      </w:tblGrid>
      <w:tr w:rsidR="00EB6BB0" w:rsidRPr="009C46EB" w14:paraId="5AD04B3A" w14:textId="77777777" w:rsidTr="0050152D">
        <w:trPr>
          <w:trHeight w:val="600"/>
        </w:trPr>
        <w:tc>
          <w:tcPr>
            <w:tcW w:w="8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B3735F9" w14:textId="77777777" w:rsidR="00EB6BB0" w:rsidRPr="009C46EB" w:rsidRDefault="00EB6BB0" w:rsidP="00E12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46EB">
              <w:rPr>
                <w:rFonts w:ascii="Arial" w:eastAsia="Times New Roman" w:hAnsi="Arial" w:cs="Arial"/>
                <w:b/>
                <w:bCs/>
                <w:color w:val="000000"/>
              </w:rPr>
              <w:t>PARTIDA</w:t>
            </w:r>
          </w:p>
        </w:tc>
        <w:tc>
          <w:tcPr>
            <w:tcW w:w="8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1E708A" w14:textId="77777777" w:rsidR="00EB6BB0" w:rsidRPr="009C46EB" w:rsidRDefault="00EB6BB0" w:rsidP="00E12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C46EB">
              <w:rPr>
                <w:rFonts w:ascii="Arial" w:eastAsia="Times New Roman" w:hAnsi="Arial" w:cs="Arial"/>
                <w:b/>
                <w:bCs/>
                <w:color w:val="000000"/>
              </w:rPr>
              <w:t>DESCRIPCIÓN</w:t>
            </w:r>
          </w:p>
        </w:tc>
      </w:tr>
      <w:tr w:rsidR="00017313" w:rsidRPr="009C46EB" w14:paraId="65D05F93" w14:textId="77777777" w:rsidTr="0050152D">
        <w:trPr>
          <w:trHeight w:val="300"/>
        </w:trPr>
        <w:tc>
          <w:tcPr>
            <w:tcW w:w="8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2DBE5" w14:textId="77777777" w:rsidR="00017313" w:rsidRPr="009C46EB" w:rsidRDefault="00017313" w:rsidP="00E12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C46EB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8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A248" w14:textId="77B8F47F" w:rsidR="00017313" w:rsidRPr="009C46EB" w:rsidRDefault="00D73630" w:rsidP="00EC409A">
            <w:pPr>
              <w:pStyle w:val="Sinespaciado"/>
              <w:jc w:val="both"/>
              <w:rPr>
                <w:rFonts w:ascii="Arial" w:hAnsi="Arial" w:cs="Arial"/>
              </w:rPr>
            </w:pPr>
            <w:r w:rsidRPr="009C46EB">
              <w:rPr>
                <w:rFonts w:ascii="Arial" w:hAnsi="Arial" w:cs="Arial"/>
                <w:color w:val="000000" w:themeColor="text1"/>
                <w:lang w:val="es-ES_tradnl"/>
              </w:rPr>
              <w:t>Servicio de manejo de</w:t>
            </w:r>
            <w:r w:rsidR="006517B5" w:rsidRPr="009C46EB">
              <w:rPr>
                <w:rFonts w:ascii="Arial" w:hAnsi="Arial" w:cs="Arial"/>
                <w:color w:val="000000" w:themeColor="text1"/>
                <w:lang w:val="es-ES_tradnl"/>
              </w:rPr>
              <w:t xml:space="preserve"> </w:t>
            </w:r>
            <w:r w:rsidRPr="009C46EB">
              <w:rPr>
                <w:rFonts w:ascii="Arial" w:hAnsi="Arial" w:cs="Arial"/>
                <w:color w:val="000000" w:themeColor="text1"/>
                <w:lang w:val="es-ES_tradnl"/>
              </w:rPr>
              <w:t>desechos, Servicio Integral</w:t>
            </w:r>
            <w:r w:rsidRPr="009C46EB">
              <w:rPr>
                <w:rFonts w:ascii="Arial" w:hAnsi="Arial" w:cs="Arial"/>
                <w:lang w:val="es-ES"/>
              </w:rPr>
              <w:t xml:space="preserve"> de </w:t>
            </w:r>
            <w:r w:rsidRPr="009C46EB">
              <w:rPr>
                <w:rFonts w:ascii="Arial" w:hAnsi="Arial" w:cs="Arial"/>
                <w:color w:val="000000" w:themeColor="text1"/>
                <w:lang w:val="es-ES"/>
              </w:rPr>
              <w:t>levantamiento en sitio de los residuos provenientes de arrastres, azolves, menaje, escombro, llantas y residuos provenientes de poda.</w:t>
            </w:r>
            <w:r w:rsidR="00596F5B">
              <w:rPr>
                <w:rFonts w:ascii="Arial" w:hAnsi="Arial" w:cs="Arial"/>
                <w:color w:val="000000" w:themeColor="text1"/>
                <w:lang w:val="es-ES"/>
              </w:rPr>
              <w:t xml:space="preserve"> (</w:t>
            </w:r>
            <w:r w:rsidR="00F25ADC">
              <w:rPr>
                <w:rFonts w:ascii="Arial" w:hAnsi="Arial" w:cs="Arial"/>
                <w:b/>
                <w:color w:val="000000" w:themeColor="text1"/>
                <w:lang w:val="es-ES"/>
              </w:rPr>
              <w:t>1 SERVICIO EQUIVALE A 1</w:t>
            </w:r>
            <w:r w:rsidR="00596F5B" w:rsidRPr="00596F5B">
              <w:rPr>
                <w:rFonts w:ascii="Arial" w:hAnsi="Arial" w:cs="Arial"/>
                <w:b/>
                <w:color w:val="000000" w:themeColor="text1"/>
                <w:lang w:val="es-ES"/>
              </w:rPr>
              <w:t xml:space="preserve"> M3</w:t>
            </w:r>
            <w:r w:rsidR="00596F5B">
              <w:rPr>
                <w:rFonts w:ascii="Arial" w:hAnsi="Arial" w:cs="Arial"/>
                <w:color w:val="000000" w:themeColor="text1"/>
                <w:lang w:val="es-ES"/>
              </w:rPr>
              <w:t>)</w:t>
            </w:r>
          </w:p>
        </w:tc>
      </w:tr>
    </w:tbl>
    <w:p w14:paraId="05EF65D2" w14:textId="77777777" w:rsidR="00EB6BB0" w:rsidRPr="009C46EB" w:rsidRDefault="00EB6BB0" w:rsidP="00EB6B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highlight w:val="yellow"/>
        </w:rPr>
      </w:pPr>
    </w:p>
    <w:p w14:paraId="7F5E6043" w14:textId="77777777" w:rsidR="009C46EB" w:rsidRDefault="009C46EB" w:rsidP="00F00371">
      <w:pPr>
        <w:pStyle w:val="Sinespaciado"/>
        <w:jc w:val="both"/>
        <w:rPr>
          <w:rFonts w:ascii="Arial" w:hAnsi="Arial" w:cs="Arial"/>
          <w:b/>
        </w:rPr>
      </w:pPr>
    </w:p>
    <w:p w14:paraId="4C21CD7B" w14:textId="4220CCD2" w:rsidR="00F00371" w:rsidRPr="009C46EB" w:rsidRDefault="00F00371" w:rsidP="00F00371">
      <w:pPr>
        <w:pStyle w:val="Sinespaciado"/>
        <w:jc w:val="both"/>
        <w:rPr>
          <w:rFonts w:ascii="Arial" w:hAnsi="Arial" w:cs="Arial"/>
          <w:b/>
        </w:rPr>
      </w:pPr>
      <w:r w:rsidRPr="009C46EB">
        <w:rPr>
          <w:rFonts w:ascii="Arial" w:hAnsi="Arial" w:cs="Arial"/>
          <w:b/>
        </w:rPr>
        <w:t>ESPECIFICACIONES TECNICAS PARA LOS LICITANTES:</w:t>
      </w:r>
    </w:p>
    <w:p w14:paraId="47D4B742" w14:textId="77777777" w:rsidR="00F00371" w:rsidRPr="009C46EB" w:rsidRDefault="00F00371" w:rsidP="00F00371">
      <w:pPr>
        <w:pStyle w:val="Sinespaciado"/>
        <w:jc w:val="both"/>
        <w:rPr>
          <w:rFonts w:ascii="Arial" w:hAnsi="Arial" w:cs="Arial"/>
          <w:b/>
        </w:rPr>
      </w:pPr>
    </w:p>
    <w:p w14:paraId="46873512" w14:textId="77777777" w:rsidR="00D73630" w:rsidRPr="009C46EB" w:rsidRDefault="00D73630" w:rsidP="00D73630">
      <w:pPr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El servicio consistirá en la recolección en sitio de los residuos provenientes de arrastres, azolves, menaje, escombro, residuos provenientes de poda en cualquier sitio señalado</w:t>
      </w:r>
      <w:r w:rsidR="006517B5" w:rsidRPr="009C46EB">
        <w:rPr>
          <w:rFonts w:ascii="Arial" w:eastAsia="Times New Roman" w:hAnsi="Arial" w:cs="Arial"/>
          <w:bCs/>
          <w:lang w:val="es-ES"/>
        </w:rPr>
        <w:t xml:space="preserve"> dentro del Municipio de Guadalajara</w:t>
      </w:r>
      <w:r w:rsidRPr="009C46EB">
        <w:rPr>
          <w:rFonts w:ascii="Arial" w:eastAsia="Times New Roman" w:hAnsi="Arial" w:cs="Arial"/>
          <w:bCs/>
          <w:lang w:val="es-ES"/>
        </w:rPr>
        <w:t xml:space="preserve">, así </w:t>
      </w:r>
      <w:r w:rsidR="00347C3E" w:rsidRPr="009C46EB">
        <w:rPr>
          <w:rFonts w:ascii="Arial" w:eastAsia="Times New Roman" w:hAnsi="Arial" w:cs="Arial"/>
          <w:bCs/>
          <w:lang w:val="es-ES"/>
        </w:rPr>
        <w:t>como</w:t>
      </w:r>
      <w:r w:rsidRPr="009C46EB">
        <w:rPr>
          <w:rFonts w:ascii="Arial" w:eastAsia="Times New Roman" w:hAnsi="Arial" w:cs="Arial"/>
          <w:bCs/>
          <w:lang w:val="es-ES"/>
        </w:rPr>
        <w:t xml:space="preserve"> la disposición final de los mismos.</w:t>
      </w:r>
    </w:p>
    <w:p w14:paraId="4C0BC210" w14:textId="77777777" w:rsidR="00D73630" w:rsidRPr="009C46EB" w:rsidRDefault="00D73630" w:rsidP="00D73630">
      <w:pPr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Se requiere la disponibilidad de los equipos y personal solicitados durante las 24hrs del día los 7 días de la semana ya que se atenderán en la mayoría de los casos, situaciones de urgente solución.</w:t>
      </w:r>
    </w:p>
    <w:p w14:paraId="7A20C76F" w14:textId="77777777" w:rsidR="00D73630" w:rsidRPr="009C46EB" w:rsidRDefault="00D73630" w:rsidP="00D73630">
      <w:pPr>
        <w:pStyle w:val="Prrafodelista"/>
        <w:numPr>
          <w:ilvl w:val="0"/>
          <w:numId w:val="10"/>
        </w:numPr>
        <w:spacing w:after="160"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El equipo con el que los licitantes deben contar es el siguiente:</w:t>
      </w:r>
    </w:p>
    <w:p w14:paraId="568FF58B" w14:textId="77777777" w:rsidR="00D73630" w:rsidRPr="009C46EB" w:rsidRDefault="00D73630" w:rsidP="00D73630">
      <w:pPr>
        <w:numPr>
          <w:ilvl w:val="1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Equipos de carga:</w:t>
      </w:r>
    </w:p>
    <w:p w14:paraId="6BCBB806" w14:textId="1986AF41" w:rsidR="00D73630" w:rsidRPr="00CB57D7" w:rsidRDefault="00D73630" w:rsidP="00CB57D7">
      <w:pPr>
        <w:pStyle w:val="Prrafodelista"/>
        <w:numPr>
          <w:ilvl w:val="2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CB57D7">
        <w:rPr>
          <w:rFonts w:ascii="Arial" w:eastAsia="Times New Roman" w:hAnsi="Arial" w:cs="Arial"/>
          <w:bCs/>
          <w:lang w:val="es-ES"/>
        </w:rPr>
        <w:t>Retroexcavadora tipo CAT 416 o similar</w:t>
      </w:r>
    </w:p>
    <w:p w14:paraId="015FB8EB" w14:textId="629FF195" w:rsidR="00D73630" w:rsidRDefault="00D73630" w:rsidP="00D73630">
      <w:pPr>
        <w:numPr>
          <w:ilvl w:val="2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Mini cargador tipo CAT 262 o similar</w:t>
      </w:r>
    </w:p>
    <w:p w14:paraId="2D03DC16" w14:textId="77777777" w:rsidR="009C46EB" w:rsidRPr="009C46EB" w:rsidRDefault="009C46EB" w:rsidP="003232AE">
      <w:pPr>
        <w:spacing w:line="240" w:lineRule="auto"/>
        <w:ind w:left="720"/>
        <w:jc w:val="both"/>
        <w:rPr>
          <w:rFonts w:ascii="Arial" w:eastAsia="Times New Roman" w:hAnsi="Arial" w:cs="Arial"/>
          <w:bCs/>
          <w:lang w:val="es-ES"/>
        </w:rPr>
      </w:pPr>
    </w:p>
    <w:p w14:paraId="5045B0DD" w14:textId="77777777" w:rsidR="00D73630" w:rsidRPr="009C46EB" w:rsidRDefault="00D73630" w:rsidP="00D73630">
      <w:pPr>
        <w:numPr>
          <w:ilvl w:val="1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Equipos de transporte con capacidad de realizar el servicio de 150 m3 ciento cincuenta metros cúbicos en una sola ejecución, que puedan transportar lodos húmedos</w:t>
      </w:r>
    </w:p>
    <w:p w14:paraId="1C9EEF8C" w14:textId="77777777" w:rsidR="00D73630" w:rsidRPr="009C46EB" w:rsidRDefault="00D73630" w:rsidP="00D73630">
      <w:pPr>
        <w:numPr>
          <w:ilvl w:val="2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lastRenderedPageBreak/>
        <w:t>Camión tipo volteo de 7m3</w:t>
      </w:r>
    </w:p>
    <w:p w14:paraId="185883F6" w14:textId="77777777" w:rsidR="00D73630" w:rsidRPr="009C46EB" w:rsidRDefault="00D73630" w:rsidP="00D73630">
      <w:pPr>
        <w:numPr>
          <w:ilvl w:val="2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Camión tipo volteo de 14m3</w:t>
      </w:r>
    </w:p>
    <w:p w14:paraId="2B664544" w14:textId="7BC15D08" w:rsidR="009C46EB" w:rsidRPr="009C46EB" w:rsidRDefault="00D73630" w:rsidP="009C46EB">
      <w:pPr>
        <w:numPr>
          <w:ilvl w:val="2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Camión tipo góndola de 30m3</w:t>
      </w:r>
    </w:p>
    <w:p w14:paraId="0B991193" w14:textId="77777777" w:rsidR="00D73630" w:rsidRPr="009C46EB" w:rsidRDefault="00D73630" w:rsidP="00D73630">
      <w:pPr>
        <w:numPr>
          <w:ilvl w:val="1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 xml:space="preserve">Recursos humanos. Se requiere que los servicios se atiendan con los respectivos operadores de maquinaria y operadores de transporte, así </w:t>
      </w:r>
      <w:r w:rsidR="00347C3E" w:rsidRPr="009C46EB">
        <w:rPr>
          <w:rFonts w:ascii="Arial" w:eastAsia="Times New Roman" w:hAnsi="Arial" w:cs="Arial"/>
          <w:bCs/>
          <w:lang w:val="es-ES"/>
        </w:rPr>
        <w:t>como</w:t>
      </w:r>
      <w:r w:rsidRPr="009C46EB">
        <w:rPr>
          <w:rFonts w:ascii="Arial" w:eastAsia="Times New Roman" w:hAnsi="Arial" w:cs="Arial"/>
          <w:bCs/>
          <w:lang w:val="es-ES"/>
        </w:rPr>
        <w:t xml:space="preserve"> una cuadrilla de al menos 2 personas para movimientos de los residuos que sean necesarios manipular.</w:t>
      </w:r>
    </w:p>
    <w:p w14:paraId="0A43E961" w14:textId="77777777" w:rsidR="00D73630" w:rsidRPr="009C46EB" w:rsidRDefault="00D73630" w:rsidP="00D73630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Cs/>
          <w:lang w:val="es-ES"/>
        </w:rPr>
      </w:pPr>
    </w:p>
    <w:p w14:paraId="6A5CF1D2" w14:textId="77777777" w:rsidR="00D73630" w:rsidRPr="009C46EB" w:rsidRDefault="00D73630" w:rsidP="00D73630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El área de Mejoramiento Urbano solicitará con anticipación de 3 tres horas, el servicio de recolección de los residuos antes mencionados, pudiendo ser desde 1 m3 un metro cúbico hasta 150 m3 metros cúbicos por evento.</w:t>
      </w:r>
    </w:p>
    <w:p w14:paraId="0AB5FF5A" w14:textId="77777777" w:rsidR="00D73630" w:rsidRPr="009C46EB" w:rsidRDefault="00D73630" w:rsidP="00D73630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Cs/>
          <w:lang w:val="es-ES"/>
        </w:rPr>
      </w:pPr>
    </w:p>
    <w:p w14:paraId="0311CF0E" w14:textId="77777777" w:rsidR="00D73630" w:rsidRPr="009C46EB" w:rsidRDefault="00D73630" w:rsidP="00D73630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La solicitud se realizará vía correo electrónico a la dirección indicada por la empresa para recibir notificaciones de servicio, en éste indicará la ubicación del servicio y el horario en el que se requiere la atención. De igual manera se indicará el tipo de residuos a recolectar, así como un estimado del volumen.</w:t>
      </w:r>
    </w:p>
    <w:p w14:paraId="5D40F7C5" w14:textId="77777777" w:rsidR="00D73630" w:rsidRPr="009C46EB" w:rsidRDefault="00D73630" w:rsidP="00D73630">
      <w:pPr>
        <w:numPr>
          <w:ilvl w:val="1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La atención al evento</w:t>
      </w:r>
    </w:p>
    <w:p w14:paraId="206E1670" w14:textId="77777777" w:rsidR="00D73630" w:rsidRPr="009C46EB" w:rsidRDefault="00D73630" w:rsidP="00D73630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Una vez en el sitio, la empresa deberá tomar fotografías del sitio antes y después de completado el servicio, así como del proceso.</w:t>
      </w:r>
    </w:p>
    <w:p w14:paraId="3A5F9750" w14:textId="77777777" w:rsidR="00D73630" w:rsidRPr="009C46EB" w:rsidRDefault="00D73630" w:rsidP="00D73630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Cs/>
          <w:lang w:val="es-ES"/>
        </w:rPr>
      </w:pPr>
    </w:p>
    <w:p w14:paraId="003C9CA0" w14:textId="77777777" w:rsidR="00D73630" w:rsidRPr="009C46EB" w:rsidRDefault="00D73630" w:rsidP="00D73630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 xml:space="preserve">Una vez completada la recolección, deberá trasladar los residuos a un sitio de disposición final (Relleno Sanitario) autorizado por </w:t>
      </w:r>
      <w:proofErr w:type="spellStart"/>
      <w:r w:rsidRPr="009C46EB">
        <w:rPr>
          <w:rFonts w:ascii="Arial" w:eastAsia="Times New Roman" w:hAnsi="Arial" w:cs="Arial"/>
          <w:bCs/>
          <w:lang w:val="es-ES"/>
        </w:rPr>
        <w:t>Semadet</w:t>
      </w:r>
      <w:proofErr w:type="spellEnd"/>
      <w:r w:rsidRPr="009C46EB">
        <w:rPr>
          <w:rFonts w:ascii="Arial" w:eastAsia="Times New Roman" w:hAnsi="Arial" w:cs="Arial"/>
          <w:bCs/>
          <w:lang w:val="es-ES"/>
        </w:rPr>
        <w:t>, con la finalidad de obtener un manifiesto de disposición final.</w:t>
      </w:r>
    </w:p>
    <w:p w14:paraId="30516152" w14:textId="77777777" w:rsidR="00D73630" w:rsidRPr="009C46EB" w:rsidRDefault="00D73630" w:rsidP="00D73630">
      <w:pPr>
        <w:numPr>
          <w:ilvl w:val="1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La comprobación</w:t>
      </w:r>
    </w:p>
    <w:p w14:paraId="3D0F4D4C" w14:textId="77777777" w:rsidR="00D73630" w:rsidRPr="009C46EB" w:rsidRDefault="00D73630" w:rsidP="00D73630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La empresa acumulará la evidencia de cada evento solicitado durante el mes calendario para generar un expediente que incluya soporte de la solicitud, ejecución y cierre de cada evento.</w:t>
      </w:r>
    </w:p>
    <w:p w14:paraId="0F1541EA" w14:textId="77777777" w:rsidR="00D73630" w:rsidRPr="009C46EB" w:rsidRDefault="00D73630" w:rsidP="00D73630">
      <w:pPr>
        <w:pStyle w:val="Prrafodelista"/>
        <w:spacing w:line="240" w:lineRule="auto"/>
        <w:ind w:left="360"/>
        <w:jc w:val="both"/>
        <w:rPr>
          <w:rFonts w:ascii="Arial" w:eastAsia="Times New Roman" w:hAnsi="Arial" w:cs="Arial"/>
          <w:bCs/>
          <w:lang w:val="es-ES"/>
        </w:rPr>
      </w:pPr>
    </w:p>
    <w:p w14:paraId="3D8E77AA" w14:textId="77777777" w:rsidR="00D73630" w:rsidRPr="009C46EB" w:rsidRDefault="00D73630" w:rsidP="00D73630">
      <w:pPr>
        <w:pStyle w:val="Prrafodelista"/>
        <w:numPr>
          <w:ilvl w:val="0"/>
          <w:numId w:val="10"/>
        </w:numPr>
        <w:spacing w:after="160"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Condiciones generales del servicio:</w:t>
      </w:r>
    </w:p>
    <w:p w14:paraId="1D917D71" w14:textId="77777777" w:rsidR="00D73630" w:rsidRPr="009C46EB" w:rsidRDefault="00D73630" w:rsidP="00D73630">
      <w:pPr>
        <w:numPr>
          <w:ilvl w:val="1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Vigencia: desde la adjudicación hasta el 31 de diciembre de 2021.</w:t>
      </w:r>
    </w:p>
    <w:p w14:paraId="718612DE" w14:textId="77777777" w:rsidR="00D73630" w:rsidRPr="009C46EB" w:rsidRDefault="00D73630" w:rsidP="00D73630">
      <w:pPr>
        <w:numPr>
          <w:ilvl w:val="1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La cantidad de eventos será ilimitada, pudiendo requerirse más de un servicio en el mismo día.</w:t>
      </w:r>
    </w:p>
    <w:p w14:paraId="3F8EBF0B" w14:textId="77777777" w:rsidR="00D73630" w:rsidRPr="009C46EB" w:rsidRDefault="00D73630" w:rsidP="00D73630">
      <w:pPr>
        <w:numPr>
          <w:ilvl w:val="1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El vo</w:t>
      </w:r>
      <w:r w:rsidR="00347C3E" w:rsidRPr="009C46EB">
        <w:rPr>
          <w:rFonts w:ascii="Arial" w:eastAsia="Times New Roman" w:hAnsi="Arial" w:cs="Arial"/>
          <w:bCs/>
          <w:lang w:val="es-ES"/>
        </w:rPr>
        <w:t>lumen mínimo por evento será 1 M</w:t>
      </w:r>
      <w:r w:rsidRPr="009C46EB">
        <w:rPr>
          <w:rFonts w:ascii="Arial" w:eastAsia="Times New Roman" w:hAnsi="Arial" w:cs="Arial"/>
          <w:bCs/>
          <w:lang w:val="es-ES"/>
        </w:rPr>
        <w:t xml:space="preserve">3 </w:t>
      </w:r>
      <w:r w:rsidR="00347C3E" w:rsidRPr="009C46EB">
        <w:rPr>
          <w:rFonts w:ascii="Arial" w:eastAsia="Times New Roman" w:hAnsi="Arial" w:cs="Arial"/>
          <w:bCs/>
          <w:lang w:val="es-ES"/>
        </w:rPr>
        <w:t>(</w:t>
      </w:r>
      <w:r w:rsidRPr="009C46EB">
        <w:rPr>
          <w:rFonts w:ascii="Arial" w:eastAsia="Times New Roman" w:hAnsi="Arial" w:cs="Arial"/>
          <w:bCs/>
          <w:lang w:val="es-ES"/>
        </w:rPr>
        <w:t>un metro cúbico</w:t>
      </w:r>
      <w:r w:rsidR="00347C3E" w:rsidRPr="009C46EB">
        <w:rPr>
          <w:rFonts w:ascii="Arial" w:eastAsia="Times New Roman" w:hAnsi="Arial" w:cs="Arial"/>
          <w:bCs/>
          <w:lang w:val="es-ES"/>
        </w:rPr>
        <w:t>)</w:t>
      </w:r>
    </w:p>
    <w:p w14:paraId="6243CE27" w14:textId="77777777" w:rsidR="00D73630" w:rsidRPr="009C46EB" w:rsidRDefault="00D73630" w:rsidP="00D73630">
      <w:pPr>
        <w:numPr>
          <w:ilvl w:val="1"/>
          <w:numId w:val="10"/>
        </w:numPr>
        <w:spacing w:line="240" w:lineRule="auto"/>
        <w:jc w:val="both"/>
        <w:rPr>
          <w:rFonts w:ascii="Arial" w:eastAsia="Times New Roman" w:hAnsi="Arial" w:cs="Arial"/>
          <w:bCs/>
          <w:lang w:val="es-ES"/>
        </w:rPr>
      </w:pPr>
      <w:r w:rsidRPr="009C46EB">
        <w:rPr>
          <w:rFonts w:ascii="Arial" w:eastAsia="Times New Roman" w:hAnsi="Arial" w:cs="Arial"/>
          <w:bCs/>
          <w:lang w:val="es-ES"/>
        </w:rPr>
        <w:t>La cobertura geográfica de los servicios incluye todo el territorio del Municipio de Guadalajara.</w:t>
      </w:r>
    </w:p>
    <w:p w14:paraId="23597B14" w14:textId="157FC9E9" w:rsidR="00D73630" w:rsidRPr="003232AE" w:rsidRDefault="00D73630" w:rsidP="003232AE">
      <w:pPr>
        <w:pStyle w:val="Prrafodelista"/>
        <w:numPr>
          <w:ilvl w:val="1"/>
          <w:numId w:val="10"/>
        </w:numPr>
        <w:spacing w:after="160" w:line="240" w:lineRule="auto"/>
        <w:jc w:val="both"/>
        <w:rPr>
          <w:rFonts w:ascii="Arial" w:eastAsia="Times New Roman" w:hAnsi="Arial" w:cs="Arial"/>
          <w:bCs/>
          <w:lang w:val="es-ES_tradnl"/>
        </w:rPr>
      </w:pPr>
      <w:r w:rsidRPr="009C46EB">
        <w:rPr>
          <w:rFonts w:ascii="Arial" w:eastAsia="Times New Roman" w:hAnsi="Arial" w:cs="Arial"/>
          <w:bCs/>
          <w:lang w:val="es-ES"/>
        </w:rPr>
        <w:t>Es obligatorio obtener el Manifiesto de disposición final en sitio autorizado (Relleno Sanitario) de los residuos recolectados para todos los servicios.</w:t>
      </w:r>
    </w:p>
    <w:p w14:paraId="62719D20" w14:textId="77777777" w:rsidR="003232AE" w:rsidRPr="003232AE" w:rsidRDefault="003232AE" w:rsidP="003232AE">
      <w:pPr>
        <w:pStyle w:val="Prrafodelista"/>
        <w:spacing w:after="160" w:line="240" w:lineRule="auto"/>
        <w:jc w:val="both"/>
        <w:rPr>
          <w:rFonts w:ascii="Arial" w:eastAsia="Times New Roman" w:hAnsi="Arial" w:cs="Arial"/>
          <w:bCs/>
          <w:lang w:val="es-ES_tradnl"/>
        </w:rPr>
      </w:pPr>
    </w:p>
    <w:p w14:paraId="3AD361D1" w14:textId="77777777" w:rsidR="00D73630" w:rsidRPr="009C46EB" w:rsidRDefault="00D73630" w:rsidP="00D73630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lang w:val="es-ES_tradnl"/>
        </w:rPr>
      </w:pPr>
      <w:r w:rsidRPr="009C46EB">
        <w:rPr>
          <w:rFonts w:ascii="Arial" w:hAnsi="Arial" w:cs="Arial"/>
          <w:lang w:val="es-ES_tradnl"/>
        </w:rPr>
        <w:t>Los licitantes deberán anexar a su propuesta de cotización manifestación por escrito y bajo protesta de decir verdad, que cuentan con la totalidad del equipo mencionado en este ANEXO 1, necesario para llevar a cabo el servicio requerido por la dependencia de Mejoramiento Urbano, hasta 150 m3 en un solo evento.</w:t>
      </w:r>
    </w:p>
    <w:p w14:paraId="5A5C6791" w14:textId="77777777" w:rsidR="00D73630" w:rsidRPr="009C46EB" w:rsidRDefault="00D73630" w:rsidP="00D73630">
      <w:pPr>
        <w:pStyle w:val="Prrafodelista"/>
        <w:rPr>
          <w:rFonts w:ascii="Arial" w:hAnsi="Arial" w:cs="Arial"/>
          <w:lang w:val="es-ES_tradnl"/>
        </w:rPr>
      </w:pPr>
    </w:p>
    <w:p w14:paraId="25FDFAF2" w14:textId="77777777" w:rsidR="00D73630" w:rsidRPr="009C46EB" w:rsidRDefault="00D73630" w:rsidP="00D73630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lang w:val="es-ES_tradnl"/>
        </w:rPr>
      </w:pPr>
      <w:r w:rsidRPr="009C46EB">
        <w:rPr>
          <w:rFonts w:ascii="Arial" w:hAnsi="Arial" w:cs="Arial"/>
          <w:lang w:val="es-ES_tradnl"/>
        </w:rPr>
        <w:lastRenderedPageBreak/>
        <w:t>Los licitantes deberán anexar a su propuesta de cotización manifestación por escrito y bajo protesta de decir verdad, que cuentan con el personal capacitado para responder ante una eventual solicitud de servicio durante las 24 horas del día, los 7 días de la semana.</w:t>
      </w:r>
    </w:p>
    <w:p w14:paraId="1B90E484" w14:textId="77777777" w:rsidR="00D73630" w:rsidRPr="009C46EB" w:rsidRDefault="00D73630" w:rsidP="00D73630">
      <w:pPr>
        <w:pStyle w:val="Prrafodelista"/>
        <w:rPr>
          <w:rFonts w:ascii="Arial" w:hAnsi="Arial" w:cs="Arial"/>
          <w:lang w:val="es-ES_tradnl"/>
        </w:rPr>
      </w:pPr>
    </w:p>
    <w:p w14:paraId="0438AFF2" w14:textId="36EA5A30" w:rsidR="009C46EB" w:rsidRPr="003232AE" w:rsidRDefault="00D73630" w:rsidP="003232AE">
      <w:pPr>
        <w:pStyle w:val="Prrafodelista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lang w:val="es-ES_tradnl"/>
        </w:rPr>
      </w:pPr>
      <w:r w:rsidRPr="009C46EB">
        <w:rPr>
          <w:rFonts w:ascii="Arial" w:hAnsi="Arial" w:cs="Arial"/>
          <w:lang w:val="es-ES_tradnl"/>
        </w:rPr>
        <w:t>Los licitantes deberán anexar a su propuesta de cotización manifestación por escrito y bajo protesta de decir verdad, que dispondrán la totalidad de los residuos recolectados en un sitio autorizado (Relleno Sanitario, para así obtener un manifiesto de disposición final y cumplir la normativa ambiental.</w:t>
      </w:r>
    </w:p>
    <w:p w14:paraId="54ACB3F4" w14:textId="77777777" w:rsidR="00EB6BB0" w:rsidRPr="009C46EB" w:rsidRDefault="00EB6BB0" w:rsidP="00EB6BB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highlight w:val="yellow"/>
        </w:rPr>
      </w:pPr>
    </w:p>
    <w:p w14:paraId="008080EB" w14:textId="77777777" w:rsidR="00EB6BB0" w:rsidRPr="009C46EB" w:rsidRDefault="00EB6BB0" w:rsidP="00EB6BB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C46EB">
        <w:rPr>
          <w:rFonts w:ascii="Arial" w:eastAsia="Arial" w:hAnsi="Arial" w:cs="Arial"/>
          <w:b/>
          <w:color w:val="000000"/>
        </w:rPr>
        <w:t xml:space="preserve">Vigencia del contrato del bien adquirir </w:t>
      </w:r>
    </w:p>
    <w:p w14:paraId="5CDE72B6" w14:textId="77777777" w:rsidR="00EB6BB0" w:rsidRPr="009C46EB" w:rsidRDefault="00EB6BB0" w:rsidP="00EB6BB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9C46EB">
        <w:rPr>
          <w:rFonts w:ascii="Arial" w:eastAsia="Arial" w:hAnsi="Arial" w:cs="Arial"/>
          <w:color w:val="000000"/>
        </w:rPr>
        <w:t xml:space="preserve">La vigencia del contrato </w:t>
      </w:r>
      <w:r w:rsidR="000903A1" w:rsidRPr="009C46EB">
        <w:rPr>
          <w:rFonts w:ascii="Arial" w:eastAsia="Arial" w:hAnsi="Arial" w:cs="Arial"/>
          <w:color w:val="000000"/>
        </w:rPr>
        <w:t>abierto</w:t>
      </w:r>
      <w:r w:rsidRPr="009C46EB">
        <w:rPr>
          <w:rFonts w:ascii="Arial" w:eastAsia="Arial" w:hAnsi="Arial" w:cs="Arial"/>
          <w:color w:val="000000"/>
        </w:rPr>
        <w:t xml:space="preserve"> será a partir del </w:t>
      </w:r>
      <w:r w:rsidR="000903A1" w:rsidRPr="009C46EB">
        <w:rPr>
          <w:rFonts w:ascii="Arial" w:eastAsia="Arial" w:hAnsi="Arial" w:cs="Arial"/>
          <w:color w:val="000000"/>
        </w:rPr>
        <w:t xml:space="preserve">fallo </w:t>
      </w:r>
      <w:r w:rsidRPr="009C46EB">
        <w:rPr>
          <w:rFonts w:ascii="Arial" w:eastAsia="Arial" w:hAnsi="Arial" w:cs="Arial"/>
          <w:color w:val="000000"/>
        </w:rPr>
        <w:t>hasta el 3</w:t>
      </w:r>
      <w:r w:rsidR="00AC44A0" w:rsidRPr="009C46EB">
        <w:rPr>
          <w:rFonts w:ascii="Arial" w:eastAsia="Arial" w:hAnsi="Arial" w:cs="Arial"/>
          <w:color w:val="000000"/>
        </w:rPr>
        <w:t>1</w:t>
      </w:r>
      <w:r w:rsidRPr="009C46EB">
        <w:rPr>
          <w:rFonts w:ascii="Arial" w:eastAsia="Arial" w:hAnsi="Arial" w:cs="Arial"/>
          <w:color w:val="000000"/>
        </w:rPr>
        <w:t xml:space="preserve"> de </w:t>
      </w:r>
      <w:r w:rsidR="00AC44A0" w:rsidRPr="009C46EB">
        <w:rPr>
          <w:rFonts w:ascii="Arial" w:eastAsia="Arial" w:hAnsi="Arial" w:cs="Arial"/>
          <w:color w:val="000000"/>
        </w:rPr>
        <w:t xml:space="preserve">diciembre </w:t>
      </w:r>
      <w:r w:rsidRPr="009C46EB">
        <w:rPr>
          <w:rFonts w:ascii="Arial" w:eastAsia="Arial" w:hAnsi="Arial" w:cs="Arial"/>
          <w:color w:val="000000"/>
        </w:rPr>
        <w:t xml:space="preserve">de 2021 o hasta agotar el techo presupuestal. </w:t>
      </w:r>
    </w:p>
    <w:p w14:paraId="5CE3AAED" w14:textId="77777777" w:rsidR="00EB6BB0" w:rsidRPr="009C46EB" w:rsidRDefault="00EB6BB0" w:rsidP="00EB6BB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</w:p>
    <w:p w14:paraId="2521203D" w14:textId="77777777" w:rsidR="00EB6BB0" w:rsidRPr="009C46EB" w:rsidRDefault="00EB6BB0" w:rsidP="00EB6BB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</w:rPr>
      </w:pPr>
      <w:r w:rsidRPr="009C46EB">
        <w:rPr>
          <w:rFonts w:ascii="Arial" w:eastAsia="Arial" w:hAnsi="Arial" w:cs="Arial"/>
          <w:b/>
          <w:color w:val="000000"/>
        </w:rPr>
        <w:t xml:space="preserve">Tipo de Contrato </w:t>
      </w:r>
    </w:p>
    <w:p w14:paraId="02DE8B59" w14:textId="5792AEF7" w:rsidR="00EB6BB0" w:rsidRDefault="00EB6BB0" w:rsidP="00EB6BB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 w:rsidRPr="009C46EB">
        <w:rPr>
          <w:rFonts w:ascii="Arial" w:eastAsia="Arial" w:hAnsi="Arial" w:cs="Arial"/>
          <w:color w:val="000000"/>
        </w:rPr>
        <w:t xml:space="preserve">Contrato </w:t>
      </w:r>
      <w:r w:rsidR="009C46EB" w:rsidRPr="009C46EB">
        <w:rPr>
          <w:rFonts w:ascii="Arial" w:eastAsia="Arial" w:hAnsi="Arial" w:cs="Arial"/>
          <w:color w:val="000000"/>
        </w:rPr>
        <w:t xml:space="preserve">abierto </w:t>
      </w:r>
      <w:r w:rsidRPr="009C46EB">
        <w:rPr>
          <w:rFonts w:ascii="Arial" w:eastAsia="Arial" w:hAnsi="Arial" w:cs="Arial"/>
          <w:color w:val="000000"/>
        </w:rPr>
        <w:t>con fundamento en el Artículo de 79 de la Ley de Compras Gubernamentales, Enajenaciones y Contratación de Servicios del Estado de Jalisco y sus Municipios.</w:t>
      </w:r>
    </w:p>
    <w:p w14:paraId="4DB955DC" w14:textId="77777777" w:rsidR="009C46EB" w:rsidRPr="003232AE" w:rsidRDefault="009C46EB" w:rsidP="003232A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E9477E0" w14:textId="77777777" w:rsidR="00017313" w:rsidRPr="009C46EB" w:rsidRDefault="00017313" w:rsidP="00EB6BB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10C79C1B" w14:textId="77777777" w:rsidR="00EB6BB0" w:rsidRPr="009C46EB" w:rsidRDefault="00EB6BB0" w:rsidP="00EB6B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9C46EB">
        <w:rPr>
          <w:rFonts w:ascii="Arial" w:eastAsia="Arial" w:hAnsi="Arial" w:cs="Arial"/>
          <w:b/>
          <w:color w:val="000000"/>
        </w:rPr>
        <w:t>Catálogos de servicios</w:t>
      </w:r>
    </w:p>
    <w:tbl>
      <w:tblPr>
        <w:tblW w:w="103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7"/>
        <w:gridCol w:w="6648"/>
        <w:gridCol w:w="1477"/>
        <w:gridCol w:w="1033"/>
      </w:tblGrid>
      <w:tr w:rsidR="00EB6BB0" w:rsidRPr="009C46EB" w14:paraId="399837D6" w14:textId="77777777" w:rsidTr="009C46EB">
        <w:trPr>
          <w:trHeight w:val="459"/>
        </w:trPr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BC661D" w14:textId="77777777" w:rsidR="00EB6BB0" w:rsidRPr="009C46EB" w:rsidRDefault="00EB6BB0" w:rsidP="00E12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4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PARTIDA</w:t>
            </w: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A64A1D" w14:textId="77777777" w:rsidR="00EB6BB0" w:rsidRPr="009C46EB" w:rsidRDefault="00EB6BB0" w:rsidP="00E12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4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7623BC" w14:textId="77777777" w:rsidR="00EB6BB0" w:rsidRPr="009C46EB" w:rsidRDefault="00EB6BB0" w:rsidP="00E12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4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CANTIDAD REQUERIDA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45BE09" w14:textId="77777777" w:rsidR="00EB6BB0" w:rsidRPr="009C46EB" w:rsidRDefault="00EB6BB0" w:rsidP="00E12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C46E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UNIDAD MEDIDA</w:t>
            </w:r>
          </w:p>
        </w:tc>
      </w:tr>
      <w:tr w:rsidR="00AC44A0" w:rsidRPr="009C46EB" w14:paraId="1776F285" w14:textId="77777777" w:rsidTr="009C46EB">
        <w:trPr>
          <w:trHeight w:val="229"/>
        </w:trPr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DB0B" w14:textId="77777777" w:rsidR="00AC44A0" w:rsidRPr="009C46EB" w:rsidRDefault="00AC44A0" w:rsidP="00E12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C46E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4B7D" w14:textId="77777777" w:rsidR="00AC44A0" w:rsidRDefault="00CA38FE" w:rsidP="00D10C15">
            <w:pPr>
              <w:pStyle w:val="Sinespaciad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</w:pPr>
            <w:r w:rsidRPr="009C46EB">
              <w:rPr>
                <w:rFonts w:ascii="Arial" w:hAnsi="Arial" w:cs="Arial"/>
                <w:color w:val="000000" w:themeColor="text1"/>
                <w:sz w:val="20"/>
                <w:szCs w:val="20"/>
                <w:lang w:val="es-ES_tradnl"/>
              </w:rPr>
              <w:t>Servicio de manejo de desechos, Servicio Integral</w:t>
            </w:r>
            <w:r w:rsidRPr="009C46EB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9C46EB"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levantamiento en sitio de los residuos provenientes de arrastres, azolves, menaje, escombro, llantas y residuos provenientes de poda.</w:t>
            </w:r>
          </w:p>
          <w:p w14:paraId="45BA07B8" w14:textId="27A60DFC" w:rsidR="00596F5B" w:rsidRPr="009C46EB" w:rsidRDefault="00596F5B" w:rsidP="00EC409A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(</w:t>
            </w:r>
            <w:r w:rsidR="00F25ADC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 xml:space="preserve">1 SERVICIO EQUIVALE A 1 </w:t>
            </w:r>
            <w:r w:rsidRPr="00596F5B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  <w:t>M3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s-ES"/>
              </w:rPr>
              <w:t>)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E5B4" w14:textId="55BA5483" w:rsidR="00AC44A0" w:rsidRPr="009C46EB" w:rsidRDefault="00F25ADC" w:rsidP="00D736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6E549" w14:textId="57AE2DA7" w:rsidR="00AC44A0" w:rsidRPr="009C46EB" w:rsidRDefault="00596F5B" w:rsidP="00E128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6F5B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SERVICIO</w:t>
            </w:r>
          </w:p>
        </w:tc>
      </w:tr>
    </w:tbl>
    <w:p w14:paraId="1B020503" w14:textId="77777777" w:rsidR="00665065" w:rsidRPr="009C46EB" w:rsidRDefault="00665065" w:rsidP="00EB6BB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774F5D45" w14:textId="77777777" w:rsidR="009C46EB" w:rsidRDefault="009C46EB" w:rsidP="00EB6BB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0FEDF155" w14:textId="77777777" w:rsidR="009C46EB" w:rsidRDefault="009C46EB" w:rsidP="00EB6BB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37CB25CE" w14:textId="77777777" w:rsidR="009C46EB" w:rsidRDefault="009C46EB" w:rsidP="00EB6BB0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37870C79" w14:textId="36500B38" w:rsidR="00EB6BB0" w:rsidRPr="009C46EB" w:rsidRDefault="00EB6BB0" w:rsidP="00EB6BB0">
      <w:pPr>
        <w:spacing w:after="0" w:line="240" w:lineRule="auto"/>
        <w:jc w:val="both"/>
        <w:rPr>
          <w:rFonts w:ascii="Arial" w:eastAsia="Arial" w:hAnsi="Arial" w:cs="Arial"/>
        </w:rPr>
      </w:pPr>
      <w:r w:rsidRPr="009C46EB">
        <w:rPr>
          <w:rFonts w:ascii="Arial" w:eastAsia="Arial" w:hAnsi="Arial" w:cs="Arial"/>
          <w:b/>
          <w:color w:val="000000"/>
        </w:rPr>
        <w:t xml:space="preserve">2.- CRITERIOS DE EVALUACIÓN: </w:t>
      </w:r>
    </w:p>
    <w:p w14:paraId="52F64344" w14:textId="77777777" w:rsidR="00EB6BB0" w:rsidRPr="009C46EB" w:rsidRDefault="00EB6BB0" w:rsidP="00EB6BB0">
      <w:pPr>
        <w:spacing w:after="0" w:line="240" w:lineRule="auto"/>
        <w:jc w:val="both"/>
        <w:rPr>
          <w:rFonts w:ascii="Arial" w:eastAsia="Arial" w:hAnsi="Arial" w:cs="Arial"/>
          <w:b/>
        </w:rPr>
      </w:pPr>
    </w:p>
    <w:tbl>
      <w:tblPr>
        <w:tblW w:w="10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7820"/>
        <w:gridCol w:w="1928"/>
      </w:tblGrid>
      <w:tr w:rsidR="00EB6BB0" w:rsidRPr="009C46EB" w14:paraId="601E8D23" w14:textId="77777777" w:rsidTr="009C46EB">
        <w:trPr>
          <w:trHeight w:val="12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C7F6237" w14:textId="77777777" w:rsidR="00EB6BB0" w:rsidRPr="009C46EB" w:rsidRDefault="00EB6BB0" w:rsidP="0066506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No.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DE7C201" w14:textId="77777777" w:rsidR="00EB6BB0" w:rsidRPr="009C46EB" w:rsidRDefault="00EB6BB0" w:rsidP="00E12827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Criterio de evaluación                                    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4F0A7B07" w14:textId="77777777" w:rsidR="00EB6BB0" w:rsidRPr="009C46EB" w:rsidRDefault="00EB6BB0" w:rsidP="00E12827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Porcentaje</w:t>
            </w:r>
          </w:p>
        </w:tc>
      </w:tr>
      <w:tr w:rsidR="00EB6BB0" w:rsidRPr="009C46EB" w14:paraId="1E0B7906" w14:textId="77777777" w:rsidTr="009C46EB">
        <w:trPr>
          <w:trHeight w:val="28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97081" w14:textId="77777777" w:rsidR="00EB6BB0" w:rsidRPr="009C46EB" w:rsidRDefault="00EB6BB0" w:rsidP="00E12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B0D8" w14:textId="77777777" w:rsidR="00CA38FE" w:rsidRPr="009C46EB" w:rsidRDefault="00CA38FE" w:rsidP="00CA38F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9C46EB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Especialidad</w:t>
            </w:r>
          </w:p>
          <w:p w14:paraId="68764035" w14:textId="77777777" w:rsidR="00EB6BB0" w:rsidRPr="009C46EB" w:rsidRDefault="00CA38FE" w:rsidP="00CA38F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C46EB">
              <w:rPr>
                <w:rFonts w:ascii="Arial" w:eastAsia="Arial" w:hAnsi="Arial" w:cs="Arial"/>
                <w:bCs/>
                <w:sz w:val="20"/>
                <w:szCs w:val="20"/>
              </w:rPr>
              <w:t xml:space="preserve">El proveedor deberá de acreditar la calidad del servicio que otorga con el currículo de la empresa y evidencias fotográficas de eventos atendidos en los que muestren su experiencia en el giro. 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A271E" w14:textId="77777777" w:rsidR="00EB6BB0" w:rsidRPr="009C46EB" w:rsidRDefault="00EB6BB0" w:rsidP="00E12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30%</w:t>
            </w:r>
          </w:p>
        </w:tc>
      </w:tr>
      <w:tr w:rsidR="00EB6BB0" w:rsidRPr="009C46EB" w14:paraId="391A575B" w14:textId="77777777" w:rsidTr="009C46EB">
        <w:trPr>
          <w:trHeight w:val="28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EADD4" w14:textId="77777777" w:rsidR="00EB6BB0" w:rsidRPr="009C46EB" w:rsidRDefault="00EB6BB0" w:rsidP="00E12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F5EE7" w14:textId="77777777" w:rsidR="00CA38FE" w:rsidRPr="009C46EB" w:rsidRDefault="00CA38FE" w:rsidP="00CA38F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9C46EB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Experiencia</w:t>
            </w:r>
          </w:p>
          <w:p w14:paraId="0478A94D" w14:textId="77777777" w:rsidR="00EB6BB0" w:rsidRPr="009C46EB" w:rsidRDefault="00CA38FE" w:rsidP="00CA38F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C46EB">
              <w:rPr>
                <w:rFonts w:ascii="Arial" w:eastAsia="Arial" w:hAnsi="Arial" w:cs="Arial"/>
                <w:sz w:val="20"/>
                <w:szCs w:val="20"/>
              </w:rPr>
              <w:t>El proveedor deberá presentar evidencia fotográfica o documentos que acrediten que ha prestado servicios iguales o similares al volumen que estamos solicitando en este proceso.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993C" w14:textId="77777777" w:rsidR="00EB6BB0" w:rsidRPr="009C46EB" w:rsidRDefault="00CA38FE" w:rsidP="00E12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  <w:r w:rsidR="00DB6E80"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</w:t>
            </w:r>
            <w:r w:rsidR="00EB6BB0"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%</w:t>
            </w:r>
          </w:p>
        </w:tc>
      </w:tr>
      <w:tr w:rsidR="00EB6BB0" w:rsidRPr="009C46EB" w14:paraId="0155E84D" w14:textId="77777777" w:rsidTr="009C46EB">
        <w:trPr>
          <w:trHeight w:val="280"/>
          <w:jc w:val="center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61F9E" w14:textId="77777777" w:rsidR="00EB6BB0" w:rsidRPr="009C46EB" w:rsidRDefault="00EB6BB0" w:rsidP="00E12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B6E9" w14:textId="77777777" w:rsidR="00665065" w:rsidRPr="009C46EB" w:rsidRDefault="00665065" w:rsidP="00E1282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eastAsia="en-US"/>
              </w:rPr>
            </w:pPr>
          </w:p>
          <w:p w14:paraId="1E40B933" w14:textId="77777777" w:rsidR="00CA38FE" w:rsidRPr="009C46EB" w:rsidRDefault="00CA38FE" w:rsidP="00CA38FE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 w:rsidRPr="009C46EB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Oferta económica  </w:t>
            </w:r>
          </w:p>
          <w:p w14:paraId="340DA7FA" w14:textId="77777777" w:rsidR="00665065" w:rsidRPr="009C46EB" w:rsidRDefault="00CA38FE" w:rsidP="00CA38FE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C46EB">
              <w:rPr>
                <w:rFonts w:ascii="Arial" w:eastAsia="Arial" w:hAnsi="Arial" w:cs="Arial"/>
                <w:bCs/>
                <w:sz w:val="20"/>
                <w:szCs w:val="20"/>
              </w:rPr>
              <w:t xml:space="preserve">Mismo que será evaluado por el área centralizada de compras. Nota: el porcentaje de este siempre deberá ser el preponderante.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2027B" w14:textId="77777777" w:rsidR="00EB6BB0" w:rsidRPr="009C46EB" w:rsidRDefault="00CA38FE" w:rsidP="00E12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</w:t>
            </w:r>
            <w:r w:rsidR="00EB6BB0"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0%</w:t>
            </w:r>
          </w:p>
        </w:tc>
      </w:tr>
      <w:tr w:rsidR="00EB6BB0" w:rsidRPr="009C46EB" w14:paraId="68F05CB6" w14:textId="77777777" w:rsidTr="009C46EB">
        <w:trPr>
          <w:trHeight w:val="120"/>
          <w:jc w:val="center"/>
        </w:trPr>
        <w:tc>
          <w:tcPr>
            <w:tcW w:w="8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7BD8D9D" w14:textId="77777777" w:rsidR="00EB6BB0" w:rsidRPr="009C46EB" w:rsidRDefault="00EB6BB0" w:rsidP="00E12827">
            <w:pPr>
              <w:spacing w:after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Total de la evaluación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DEEB05B" w14:textId="77777777" w:rsidR="00EB6BB0" w:rsidRPr="009C46EB" w:rsidRDefault="00EB6BB0" w:rsidP="00E1282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C46E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100%</w:t>
            </w:r>
          </w:p>
        </w:tc>
      </w:tr>
    </w:tbl>
    <w:p w14:paraId="6821A129" w14:textId="77777777" w:rsidR="00EB6BB0" w:rsidRPr="009C46EB" w:rsidRDefault="00EB6BB0" w:rsidP="00EB6BB0">
      <w:pPr>
        <w:spacing w:after="0" w:line="240" w:lineRule="auto"/>
        <w:jc w:val="center"/>
        <w:rPr>
          <w:rFonts w:ascii="Arial" w:hAnsi="Arial" w:cs="Arial"/>
        </w:rPr>
      </w:pPr>
    </w:p>
    <w:p w14:paraId="6D308313" w14:textId="77777777" w:rsidR="00EB6BB0" w:rsidRPr="009C46EB" w:rsidRDefault="00EB6BB0" w:rsidP="00EB6BB0">
      <w:pPr>
        <w:spacing w:after="0" w:line="240" w:lineRule="auto"/>
        <w:rPr>
          <w:rFonts w:ascii="Arial" w:hAnsi="Arial" w:cs="Arial"/>
        </w:rPr>
      </w:pPr>
    </w:p>
    <w:p w14:paraId="7921604B" w14:textId="77777777" w:rsidR="00017313" w:rsidRPr="009C46EB" w:rsidRDefault="00017313" w:rsidP="00EB6BB0">
      <w:pPr>
        <w:spacing w:after="0" w:line="240" w:lineRule="auto"/>
        <w:rPr>
          <w:rFonts w:ascii="Arial" w:hAnsi="Arial" w:cs="Arial"/>
        </w:rPr>
      </w:pPr>
    </w:p>
    <w:p w14:paraId="107808C5" w14:textId="77777777" w:rsidR="00017313" w:rsidRPr="009C46EB" w:rsidRDefault="00017313" w:rsidP="00EB6BB0">
      <w:pPr>
        <w:spacing w:after="0" w:line="240" w:lineRule="auto"/>
        <w:rPr>
          <w:rFonts w:ascii="Arial" w:hAnsi="Arial" w:cs="Arial"/>
        </w:rPr>
      </w:pPr>
    </w:p>
    <w:p w14:paraId="67F53A37" w14:textId="77777777" w:rsidR="00665065" w:rsidRPr="009C46EB" w:rsidRDefault="00665065" w:rsidP="00EB6BB0">
      <w:pPr>
        <w:spacing w:after="0" w:line="240" w:lineRule="auto"/>
        <w:rPr>
          <w:rFonts w:ascii="Arial" w:hAnsi="Arial" w:cs="Arial"/>
        </w:rPr>
      </w:pPr>
    </w:p>
    <w:p w14:paraId="45C74937" w14:textId="77777777" w:rsidR="00017313" w:rsidRPr="009C46EB" w:rsidRDefault="00017313" w:rsidP="00EB6BB0">
      <w:pPr>
        <w:spacing w:after="0" w:line="240" w:lineRule="auto"/>
        <w:rPr>
          <w:rFonts w:ascii="Arial" w:hAnsi="Arial" w:cs="Arial"/>
        </w:rPr>
      </w:pPr>
    </w:p>
    <w:p w14:paraId="095098C7" w14:textId="77777777" w:rsidR="00EB6BB0" w:rsidRPr="009C46EB" w:rsidRDefault="00EB6BB0" w:rsidP="00EB6BB0">
      <w:pPr>
        <w:spacing w:after="0" w:line="240" w:lineRule="auto"/>
        <w:jc w:val="center"/>
        <w:rPr>
          <w:rFonts w:ascii="Arial" w:hAnsi="Arial" w:cs="Arial"/>
        </w:rPr>
      </w:pPr>
      <w:r w:rsidRPr="009C46EB">
        <w:rPr>
          <w:rFonts w:ascii="Arial" w:hAnsi="Arial" w:cs="Arial"/>
        </w:rPr>
        <w:t>Atentamente</w:t>
      </w:r>
    </w:p>
    <w:p w14:paraId="7401BCF1" w14:textId="77777777" w:rsidR="00EB6BB0" w:rsidRPr="009C46EB" w:rsidRDefault="00EB6BB0" w:rsidP="00EB6BB0">
      <w:pPr>
        <w:spacing w:after="0" w:line="240" w:lineRule="auto"/>
        <w:jc w:val="center"/>
        <w:rPr>
          <w:rFonts w:ascii="Arial" w:hAnsi="Arial" w:cs="Arial"/>
        </w:rPr>
      </w:pPr>
      <w:r w:rsidRPr="009C46EB">
        <w:rPr>
          <w:rFonts w:ascii="Arial" w:hAnsi="Arial" w:cs="Arial"/>
        </w:rPr>
        <w:t>“</w:t>
      </w:r>
      <w:r w:rsidR="000C42BD" w:rsidRPr="009C46EB">
        <w:rPr>
          <w:rFonts w:ascii="Arial" w:hAnsi="Arial" w:cs="Arial"/>
        </w:rPr>
        <w:t>2021, año del Constituyente del Estado de Jalisco</w:t>
      </w:r>
      <w:r w:rsidRPr="009C46EB">
        <w:rPr>
          <w:rFonts w:ascii="Arial" w:hAnsi="Arial" w:cs="Arial"/>
        </w:rPr>
        <w:t>”</w:t>
      </w:r>
    </w:p>
    <w:p w14:paraId="01BA61AA" w14:textId="16835061" w:rsidR="00EB6BB0" w:rsidRPr="009C46EB" w:rsidRDefault="00EB6BB0" w:rsidP="00EB6BB0">
      <w:pPr>
        <w:spacing w:after="0" w:line="240" w:lineRule="auto"/>
        <w:jc w:val="center"/>
        <w:rPr>
          <w:rFonts w:ascii="Arial" w:hAnsi="Arial" w:cs="Arial"/>
        </w:rPr>
      </w:pPr>
      <w:r w:rsidRPr="009C46EB">
        <w:rPr>
          <w:rFonts w:ascii="Arial" w:hAnsi="Arial" w:cs="Arial"/>
        </w:rPr>
        <w:t xml:space="preserve">Guadalajara, Jalisco a </w:t>
      </w:r>
      <w:r w:rsidR="000C42BD" w:rsidRPr="009C46EB">
        <w:rPr>
          <w:rFonts w:ascii="Arial" w:hAnsi="Arial" w:cs="Arial"/>
        </w:rPr>
        <w:t>0</w:t>
      </w:r>
      <w:r w:rsidR="009C46EB">
        <w:rPr>
          <w:rFonts w:ascii="Arial" w:hAnsi="Arial" w:cs="Arial"/>
        </w:rPr>
        <w:t>9</w:t>
      </w:r>
      <w:r w:rsidRPr="009C46EB">
        <w:rPr>
          <w:rFonts w:ascii="Arial" w:hAnsi="Arial" w:cs="Arial"/>
        </w:rPr>
        <w:t xml:space="preserve"> de </w:t>
      </w:r>
      <w:r w:rsidR="00B11A5B" w:rsidRPr="009C46EB">
        <w:rPr>
          <w:rFonts w:ascii="Arial" w:hAnsi="Arial" w:cs="Arial"/>
        </w:rPr>
        <w:t>noviembre</w:t>
      </w:r>
      <w:r w:rsidRPr="009C46EB">
        <w:rPr>
          <w:rFonts w:ascii="Arial" w:hAnsi="Arial" w:cs="Arial"/>
        </w:rPr>
        <w:t xml:space="preserve"> de 2021.</w:t>
      </w:r>
    </w:p>
    <w:p w14:paraId="664170D3" w14:textId="77777777" w:rsidR="00EB6BB0" w:rsidRPr="009C46EB" w:rsidRDefault="00EB6BB0" w:rsidP="00EB6BB0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14:paraId="77924616" w14:textId="77777777" w:rsidR="00EB6BB0" w:rsidRPr="009C46EB" w:rsidRDefault="00EB6BB0" w:rsidP="00EB6BB0">
      <w:pPr>
        <w:spacing w:after="0"/>
        <w:jc w:val="center"/>
        <w:rPr>
          <w:rFonts w:ascii="Arial" w:eastAsia="Arial" w:hAnsi="Arial" w:cs="Arial"/>
          <w:smallCaps/>
        </w:rPr>
      </w:pPr>
    </w:p>
    <w:p w14:paraId="4197BF5D" w14:textId="77777777" w:rsidR="00DB6E80" w:rsidRPr="009C46EB" w:rsidRDefault="00DB6E80" w:rsidP="00DB6E80">
      <w:pPr>
        <w:spacing w:after="0"/>
        <w:jc w:val="center"/>
        <w:rPr>
          <w:rFonts w:ascii="Arial" w:eastAsia="Arial" w:hAnsi="Arial" w:cs="Arial"/>
          <w:smallCaps/>
        </w:rPr>
      </w:pPr>
    </w:p>
    <w:p w14:paraId="759538E9" w14:textId="77777777" w:rsidR="00DB6E80" w:rsidRPr="009C46EB" w:rsidRDefault="00DB6E80" w:rsidP="00DB6E80">
      <w:pPr>
        <w:spacing w:after="0"/>
        <w:jc w:val="center"/>
        <w:rPr>
          <w:rFonts w:ascii="Arial" w:eastAsia="Arial" w:hAnsi="Arial" w:cs="Arial"/>
          <w:smallCaps/>
        </w:rPr>
      </w:pPr>
    </w:p>
    <w:p w14:paraId="78B53296" w14:textId="77777777" w:rsidR="00DB6E80" w:rsidRPr="009C46EB" w:rsidRDefault="00DB6E80" w:rsidP="00DB6E80">
      <w:pPr>
        <w:spacing w:after="0"/>
        <w:jc w:val="center"/>
        <w:rPr>
          <w:rFonts w:ascii="Arial" w:eastAsia="Arial" w:hAnsi="Arial" w:cs="Arial"/>
          <w:smallCap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DB6E80" w:rsidRPr="009C46EB" w14:paraId="23ABC97E" w14:textId="77777777" w:rsidTr="00D9431C">
        <w:trPr>
          <w:trHeight w:val="372"/>
        </w:trPr>
        <w:tc>
          <w:tcPr>
            <w:tcW w:w="5495" w:type="dxa"/>
          </w:tcPr>
          <w:p w14:paraId="5A628CB7" w14:textId="77777777" w:rsidR="00DB6E80" w:rsidRPr="009C46EB" w:rsidRDefault="00DB6E80" w:rsidP="00D9431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9C46EB">
              <w:rPr>
                <w:rFonts w:ascii="Arial" w:hAnsi="Arial" w:cs="Arial"/>
                <w:b/>
              </w:rPr>
              <w:t>ING. MARTIN OBED PEREZ FLETES</w:t>
            </w:r>
          </w:p>
        </w:tc>
        <w:tc>
          <w:tcPr>
            <w:tcW w:w="4536" w:type="dxa"/>
          </w:tcPr>
          <w:p w14:paraId="11BD3BCC" w14:textId="77777777" w:rsidR="00DB6E80" w:rsidRPr="009C46EB" w:rsidRDefault="00DB6E80" w:rsidP="00D9431C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9C46EB">
              <w:rPr>
                <w:rFonts w:ascii="Arial" w:hAnsi="Arial" w:cs="Arial"/>
                <w:b/>
              </w:rPr>
              <w:t xml:space="preserve">LORENA RODRIGUEZ HERNANDEZ </w:t>
            </w:r>
          </w:p>
        </w:tc>
      </w:tr>
      <w:tr w:rsidR="00DB6E80" w:rsidRPr="009C46EB" w14:paraId="256A5B1B" w14:textId="77777777" w:rsidTr="00D9431C">
        <w:tc>
          <w:tcPr>
            <w:tcW w:w="5495" w:type="dxa"/>
          </w:tcPr>
          <w:p w14:paraId="105DAC16" w14:textId="77777777" w:rsidR="00DB6E80" w:rsidRPr="009C46EB" w:rsidRDefault="00DB6E80" w:rsidP="00D9431C">
            <w:pPr>
              <w:pStyle w:val="Sinespaciado"/>
              <w:jc w:val="center"/>
              <w:rPr>
                <w:rFonts w:ascii="Arial" w:hAnsi="Arial" w:cs="Arial"/>
              </w:rPr>
            </w:pPr>
            <w:r w:rsidRPr="009C46EB">
              <w:rPr>
                <w:rFonts w:ascii="Arial" w:hAnsi="Arial" w:cs="Arial"/>
              </w:rPr>
              <w:t>DIRECTOR DE MANTENIMIENTO URBANO</w:t>
            </w:r>
          </w:p>
        </w:tc>
        <w:tc>
          <w:tcPr>
            <w:tcW w:w="4536" w:type="dxa"/>
          </w:tcPr>
          <w:p w14:paraId="749F7C24" w14:textId="77777777" w:rsidR="00DB6E80" w:rsidRPr="009C46EB" w:rsidRDefault="00DB6E80" w:rsidP="00D9431C">
            <w:pPr>
              <w:pStyle w:val="Sinespaciado"/>
              <w:jc w:val="center"/>
              <w:rPr>
                <w:rFonts w:ascii="Arial" w:hAnsi="Arial" w:cs="Arial"/>
              </w:rPr>
            </w:pPr>
            <w:r w:rsidRPr="009C46EB">
              <w:rPr>
                <w:rFonts w:ascii="Arial" w:hAnsi="Arial" w:cs="Arial"/>
              </w:rPr>
              <w:t xml:space="preserve">AREA DE COMPRAS </w:t>
            </w:r>
          </w:p>
        </w:tc>
      </w:tr>
    </w:tbl>
    <w:p w14:paraId="7C35CF2E" w14:textId="77777777" w:rsidR="00DB6E80" w:rsidRPr="009C46EB" w:rsidRDefault="00DB6E80" w:rsidP="00DB6E80">
      <w:pPr>
        <w:rPr>
          <w:rFonts w:ascii="Arial" w:hAnsi="Arial" w:cs="Arial"/>
        </w:rPr>
      </w:pPr>
    </w:p>
    <w:p w14:paraId="375A16A4" w14:textId="77777777" w:rsidR="00EB6BB0" w:rsidRPr="009C46EB" w:rsidRDefault="00EB6BB0" w:rsidP="006F380A">
      <w:pPr>
        <w:rPr>
          <w:rFonts w:ascii="Arial" w:hAnsi="Arial" w:cs="Arial"/>
        </w:rPr>
      </w:pPr>
    </w:p>
    <w:sectPr w:rsidR="00EB6BB0" w:rsidRPr="009C46EB" w:rsidSect="0063413D">
      <w:pgSz w:w="12240" w:h="15840"/>
      <w:pgMar w:top="1417" w:right="1041" w:bottom="1417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4F63"/>
    <w:multiLevelType w:val="hybridMultilevel"/>
    <w:tmpl w:val="A3CC69AC"/>
    <w:lvl w:ilvl="0" w:tplc="DBDAE7EC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703B7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4F768F"/>
    <w:multiLevelType w:val="hybridMultilevel"/>
    <w:tmpl w:val="D35621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925D4"/>
    <w:multiLevelType w:val="hybridMultilevel"/>
    <w:tmpl w:val="D97ACBBC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81D6551"/>
    <w:multiLevelType w:val="multilevel"/>
    <w:tmpl w:val="BDFAA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)"/>
      <w:lvlJc w:val="left"/>
      <w:pPr>
        <w:ind w:left="1080" w:hanging="360"/>
      </w:pPr>
      <w:rPr>
        <w:rFonts w:ascii="Arial" w:eastAsia="Times New Roman" w:hAnsi="Arial" w:cs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7AE1DAA"/>
    <w:multiLevelType w:val="hybridMultilevel"/>
    <w:tmpl w:val="F16E9F1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196A94"/>
    <w:multiLevelType w:val="hybridMultilevel"/>
    <w:tmpl w:val="EE1063C6"/>
    <w:lvl w:ilvl="0" w:tplc="FDE031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31215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370A36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9EAB91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CA640A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B66102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9C6B14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792926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646FDB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6BA85A3C"/>
    <w:multiLevelType w:val="multilevel"/>
    <w:tmpl w:val="E6B2E83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323E82"/>
    <w:multiLevelType w:val="hybridMultilevel"/>
    <w:tmpl w:val="8190DEA8"/>
    <w:lvl w:ilvl="0" w:tplc="DBDAE7EC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33E49"/>
    <w:multiLevelType w:val="hybridMultilevel"/>
    <w:tmpl w:val="D35621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B0"/>
    <w:rsid w:val="00017313"/>
    <w:rsid w:val="000903A1"/>
    <w:rsid w:val="000C42BD"/>
    <w:rsid w:val="00136D80"/>
    <w:rsid w:val="001F71AA"/>
    <w:rsid w:val="0023682D"/>
    <w:rsid w:val="00267177"/>
    <w:rsid w:val="002874BC"/>
    <w:rsid w:val="002B6FCB"/>
    <w:rsid w:val="003009F5"/>
    <w:rsid w:val="003232AE"/>
    <w:rsid w:val="00347C3E"/>
    <w:rsid w:val="003D7118"/>
    <w:rsid w:val="004845F2"/>
    <w:rsid w:val="004A3F7C"/>
    <w:rsid w:val="004B572B"/>
    <w:rsid w:val="004F0F8C"/>
    <w:rsid w:val="0050152D"/>
    <w:rsid w:val="00512F00"/>
    <w:rsid w:val="00543C86"/>
    <w:rsid w:val="00560BB0"/>
    <w:rsid w:val="0056796D"/>
    <w:rsid w:val="00596F5B"/>
    <w:rsid w:val="005D2292"/>
    <w:rsid w:val="006415B8"/>
    <w:rsid w:val="006517B5"/>
    <w:rsid w:val="00665065"/>
    <w:rsid w:val="006F380A"/>
    <w:rsid w:val="00705398"/>
    <w:rsid w:val="007932E1"/>
    <w:rsid w:val="00826BD6"/>
    <w:rsid w:val="00970881"/>
    <w:rsid w:val="009C46EB"/>
    <w:rsid w:val="00AC44A0"/>
    <w:rsid w:val="00B11A5B"/>
    <w:rsid w:val="00BB4169"/>
    <w:rsid w:val="00C03893"/>
    <w:rsid w:val="00C65EFD"/>
    <w:rsid w:val="00CA38FE"/>
    <w:rsid w:val="00CB57D7"/>
    <w:rsid w:val="00D10C15"/>
    <w:rsid w:val="00D73630"/>
    <w:rsid w:val="00D83ABF"/>
    <w:rsid w:val="00DB6E80"/>
    <w:rsid w:val="00DC2CDE"/>
    <w:rsid w:val="00DE1635"/>
    <w:rsid w:val="00DF45BA"/>
    <w:rsid w:val="00EA2F0E"/>
    <w:rsid w:val="00EB6BB0"/>
    <w:rsid w:val="00EC409A"/>
    <w:rsid w:val="00F00371"/>
    <w:rsid w:val="00F25ADC"/>
    <w:rsid w:val="00FA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7C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6BB0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6BB0"/>
  </w:style>
  <w:style w:type="table" w:styleId="Tablaconcuadrcula">
    <w:name w:val="Table Grid"/>
    <w:basedOn w:val="Tablanormal"/>
    <w:uiPriority w:val="59"/>
    <w:rsid w:val="00EB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6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B6BB0"/>
    <w:pPr>
      <w:spacing w:after="200" w:line="276" w:lineRule="auto"/>
    </w:pPr>
    <w:rPr>
      <w:rFonts w:ascii="Calibri" w:eastAsia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B6BB0"/>
  </w:style>
  <w:style w:type="table" w:styleId="Tablaconcuadrcula">
    <w:name w:val="Table Grid"/>
    <w:basedOn w:val="Tablanormal"/>
    <w:uiPriority w:val="59"/>
    <w:rsid w:val="00EB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6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Administrador</cp:lastModifiedBy>
  <cp:revision>4</cp:revision>
  <cp:lastPrinted>2021-11-16T19:55:00Z</cp:lastPrinted>
  <dcterms:created xsi:type="dcterms:W3CDTF">2021-11-18T16:15:00Z</dcterms:created>
  <dcterms:modified xsi:type="dcterms:W3CDTF">2021-11-18T20:52:00Z</dcterms:modified>
</cp:coreProperties>
</file>