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EA83A" w14:textId="77777777" w:rsidR="00910665" w:rsidRPr="00DD271F" w:rsidRDefault="00910665" w:rsidP="00910665">
      <w:pPr>
        <w:spacing w:line="276" w:lineRule="auto"/>
        <w:jc w:val="both"/>
        <w:rPr>
          <w:rFonts w:ascii="Arial Narrow" w:hAnsi="Arial Narrow"/>
        </w:rPr>
      </w:pPr>
    </w:p>
    <w:p w14:paraId="5FF89E26" w14:textId="77777777" w:rsidR="00910665" w:rsidRPr="00DD271F" w:rsidRDefault="00910665" w:rsidP="00910665">
      <w:pPr>
        <w:spacing w:line="276" w:lineRule="auto"/>
        <w:jc w:val="both"/>
        <w:rPr>
          <w:rFonts w:ascii="Arial Narrow" w:hAnsi="Arial Narrow"/>
        </w:rPr>
      </w:pPr>
    </w:p>
    <w:p w14:paraId="3A02D2DA" w14:textId="0152EDB4" w:rsidR="00A004F0" w:rsidRPr="00DD271F" w:rsidRDefault="00DD271F" w:rsidP="00DD271F">
      <w:pPr>
        <w:spacing w:line="276" w:lineRule="auto"/>
        <w:jc w:val="center"/>
        <w:rPr>
          <w:rFonts w:ascii="Arial Narrow" w:hAnsi="Arial Narrow"/>
          <w:b/>
          <w:u w:val="single"/>
        </w:rPr>
      </w:pPr>
      <w:r w:rsidRPr="00DD271F">
        <w:rPr>
          <w:rFonts w:ascii="Arial Narrow" w:hAnsi="Arial Narrow"/>
          <w:b/>
          <w:u w:val="single"/>
        </w:rPr>
        <w:t>ANEXO 1</w:t>
      </w:r>
    </w:p>
    <w:p w14:paraId="1EC98204" w14:textId="77777777" w:rsidR="00EF618B" w:rsidRPr="00526270" w:rsidRDefault="00EF618B" w:rsidP="001F03DD">
      <w:pPr>
        <w:spacing w:line="276" w:lineRule="auto"/>
        <w:jc w:val="both"/>
        <w:rPr>
          <w:rFonts w:ascii="Arial Narrow" w:hAnsi="Arial Narrow"/>
          <w:lang w:val="es-MX"/>
        </w:rPr>
      </w:pPr>
    </w:p>
    <w:p w14:paraId="624E08AC" w14:textId="77777777" w:rsidR="00927E43" w:rsidRPr="00526270" w:rsidRDefault="00927E43" w:rsidP="001F03DD">
      <w:pPr>
        <w:spacing w:line="276" w:lineRule="auto"/>
        <w:jc w:val="both"/>
        <w:rPr>
          <w:rFonts w:ascii="Arial Narrow" w:hAnsi="Arial Narrow"/>
          <w:b/>
          <w:lang w:val="es-MX"/>
        </w:rPr>
      </w:pPr>
    </w:p>
    <w:p w14:paraId="5BFBB296" w14:textId="6BAAB2C5" w:rsidR="00DD271F" w:rsidRPr="00722C4E" w:rsidRDefault="00DD271F" w:rsidP="001F03DD">
      <w:pPr>
        <w:spacing w:line="276" w:lineRule="auto"/>
        <w:jc w:val="both"/>
        <w:rPr>
          <w:rFonts w:ascii="Arial Narrow" w:hAnsi="Arial Narrow"/>
          <w:b/>
          <w:lang w:val="es-MX"/>
        </w:rPr>
      </w:pPr>
      <w:r w:rsidRPr="00722C4E">
        <w:rPr>
          <w:rFonts w:ascii="Arial Narrow" w:hAnsi="Arial Narrow"/>
          <w:b/>
          <w:lang w:val="es-MX"/>
        </w:rPr>
        <w:t>OFICIO: CGSPM/RMG/0</w:t>
      </w:r>
      <w:r w:rsidR="000E77CB" w:rsidRPr="00722C4E">
        <w:rPr>
          <w:rFonts w:ascii="Arial Narrow" w:hAnsi="Arial Narrow"/>
          <w:b/>
          <w:lang w:val="es-MX"/>
        </w:rPr>
        <w:t>1</w:t>
      </w:r>
      <w:r w:rsidR="00E352F2" w:rsidRPr="00722C4E">
        <w:rPr>
          <w:rFonts w:ascii="Arial Narrow" w:hAnsi="Arial Narrow"/>
          <w:b/>
          <w:lang w:val="es-MX"/>
        </w:rPr>
        <w:t>7</w:t>
      </w:r>
      <w:r w:rsidRPr="00722C4E">
        <w:rPr>
          <w:rFonts w:ascii="Arial Narrow" w:hAnsi="Arial Narrow"/>
          <w:b/>
          <w:lang w:val="es-MX"/>
        </w:rPr>
        <w:t>/2021</w:t>
      </w:r>
      <w:r w:rsidR="00722C4E" w:rsidRPr="00722C4E">
        <w:rPr>
          <w:rFonts w:ascii="Arial Narrow" w:hAnsi="Arial Narrow"/>
          <w:b/>
          <w:lang w:val="es-MX"/>
        </w:rPr>
        <w:t xml:space="preserve">; REQUISICION NO. </w:t>
      </w:r>
      <w:r w:rsidR="00722C4E">
        <w:rPr>
          <w:rFonts w:ascii="Arial Narrow" w:hAnsi="Arial Narrow"/>
          <w:b/>
          <w:lang w:val="es-MX"/>
        </w:rPr>
        <w:t>REQ01027/2021</w:t>
      </w:r>
    </w:p>
    <w:p w14:paraId="6931E10C" w14:textId="77777777" w:rsidR="00CE118F" w:rsidRPr="00722C4E" w:rsidRDefault="00CE118F" w:rsidP="001F03DD">
      <w:pPr>
        <w:spacing w:line="276" w:lineRule="auto"/>
        <w:jc w:val="both"/>
        <w:rPr>
          <w:rFonts w:ascii="Arial Narrow" w:hAnsi="Arial Narrow"/>
          <w:b/>
          <w:lang w:val="es-MX"/>
        </w:rPr>
      </w:pPr>
    </w:p>
    <w:p w14:paraId="1686ABE5" w14:textId="77777777" w:rsidR="00A004F0" w:rsidRPr="00722C4E" w:rsidRDefault="00A004F0" w:rsidP="001F03DD">
      <w:pPr>
        <w:spacing w:line="276" w:lineRule="auto"/>
        <w:ind w:right="-518"/>
        <w:jc w:val="both"/>
        <w:rPr>
          <w:rFonts w:ascii="Arial Narrow" w:hAnsi="Arial Narrow"/>
          <w:lang w:val="es-MX"/>
        </w:rPr>
      </w:pPr>
    </w:p>
    <w:p w14:paraId="0FFF6294" w14:textId="2BAF0427" w:rsidR="00DD271F" w:rsidRPr="00722C4E" w:rsidRDefault="00DD271F" w:rsidP="00722C4E">
      <w:pPr>
        <w:pStyle w:val="Prrafodelista"/>
        <w:numPr>
          <w:ilvl w:val="0"/>
          <w:numId w:val="4"/>
        </w:numPr>
        <w:spacing w:after="120" w:line="276" w:lineRule="auto"/>
        <w:ind w:left="0" w:right="-516" w:hanging="11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b/>
          <w:lang w:val="es-MX"/>
        </w:rPr>
        <w:t>Dependencia solicitante</w:t>
      </w:r>
      <w:r w:rsidRPr="00722C4E">
        <w:rPr>
          <w:rFonts w:ascii="Arial Narrow" w:hAnsi="Arial Narrow"/>
          <w:lang w:val="es-MX"/>
        </w:rPr>
        <w:t>: Coordinación General de Servicios Públicos Municipales.</w:t>
      </w:r>
    </w:p>
    <w:p w14:paraId="4F76AD4D" w14:textId="77777777" w:rsidR="00DD271F" w:rsidRPr="00722C4E" w:rsidRDefault="00DD271F" w:rsidP="00722C4E">
      <w:pPr>
        <w:pStyle w:val="Prrafodelista"/>
        <w:numPr>
          <w:ilvl w:val="0"/>
          <w:numId w:val="4"/>
        </w:numPr>
        <w:spacing w:after="120" w:line="276" w:lineRule="auto"/>
        <w:ind w:left="0" w:right="-516" w:hanging="11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b/>
          <w:lang w:val="es-MX"/>
        </w:rPr>
        <w:t>Unidad Responsable</w:t>
      </w:r>
      <w:r w:rsidRPr="00722C4E">
        <w:rPr>
          <w:rFonts w:ascii="Arial Narrow" w:hAnsi="Arial Narrow"/>
          <w:lang w:val="es-MX"/>
        </w:rPr>
        <w:t>: 8380 Dirección del Rastro Municipal</w:t>
      </w:r>
    </w:p>
    <w:p w14:paraId="1A1D46F3" w14:textId="2907EC52" w:rsidR="000A7FBD" w:rsidRPr="00722C4E" w:rsidRDefault="00DD271F" w:rsidP="00722C4E">
      <w:pPr>
        <w:pStyle w:val="Prrafodelista"/>
        <w:numPr>
          <w:ilvl w:val="0"/>
          <w:numId w:val="4"/>
        </w:numPr>
        <w:spacing w:after="120" w:line="276" w:lineRule="auto"/>
        <w:ind w:left="0" w:right="-516" w:hanging="11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b/>
          <w:lang w:val="es-MX"/>
        </w:rPr>
        <w:t>Objetivo</w:t>
      </w:r>
      <w:r w:rsidR="00CA24AD">
        <w:rPr>
          <w:rFonts w:ascii="Arial Narrow" w:hAnsi="Arial Narrow"/>
          <w:b/>
          <w:lang w:val="es-MX"/>
        </w:rPr>
        <w:t xml:space="preserve"> del servicio</w:t>
      </w:r>
      <w:r w:rsidRPr="00722C4E">
        <w:rPr>
          <w:rFonts w:ascii="Arial Narrow" w:hAnsi="Arial Narrow"/>
          <w:lang w:val="es-MX"/>
        </w:rPr>
        <w:t xml:space="preserve">: </w:t>
      </w:r>
      <w:r w:rsidR="000A7FBD" w:rsidRPr="00722C4E">
        <w:rPr>
          <w:rFonts w:ascii="Arial Narrow" w:hAnsi="Arial Narrow"/>
          <w:lang w:val="es-MX"/>
        </w:rPr>
        <w:t>Realizar el servicio de recolección, transport</w:t>
      </w:r>
      <w:r w:rsidR="000E77CB" w:rsidRPr="00722C4E">
        <w:rPr>
          <w:rFonts w:ascii="Arial Narrow" w:hAnsi="Arial Narrow"/>
          <w:lang w:val="es-MX"/>
        </w:rPr>
        <w:t>e</w:t>
      </w:r>
      <w:r w:rsidR="000A7FBD" w:rsidRPr="00722C4E">
        <w:rPr>
          <w:rFonts w:ascii="Arial Narrow" w:hAnsi="Arial Narrow"/>
          <w:lang w:val="es-MX"/>
        </w:rPr>
        <w:t xml:space="preserve"> y destino final de </w:t>
      </w:r>
      <w:r w:rsidR="00E352F2" w:rsidRPr="00722C4E">
        <w:rPr>
          <w:rFonts w:ascii="Arial Narrow" w:hAnsi="Arial Narrow"/>
          <w:lang w:val="es-MX"/>
        </w:rPr>
        <w:t xml:space="preserve">sangre animal (residuos no peligrosos) </w:t>
      </w:r>
      <w:r w:rsidR="000A7FBD" w:rsidRPr="00722C4E">
        <w:rPr>
          <w:rFonts w:ascii="Arial Narrow" w:hAnsi="Arial Narrow"/>
          <w:lang w:val="es-MX"/>
        </w:rPr>
        <w:t>generados en el Rastro de Guadalajara, llevando ést</w:t>
      </w:r>
      <w:r w:rsidR="00E352F2" w:rsidRPr="00722C4E">
        <w:rPr>
          <w:rFonts w:ascii="Arial Narrow" w:hAnsi="Arial Narrow"/>
          <w:lang w:val="es-MX"/>
        </w:rPr>
        <w:t>e</w:t>
      </w:r>
      <w:r w:rsidR="000A7FBD" w:rsidRPr="00722C4E">
        <w:rPr>
          <w:rFonts w:ascii="Arial Narrow" w:hAnsi="Arial Narrow"/>
          <w:lang w:val="es-MX"/>
        </w:rPr>
        <w:t xml:space="preserve"> a su destino final de parte de empresas certificadas, cumpliendo con la </w:t>
      </w:r>
      <w:r w:rsidR="000A7FBD" w:rsidRPr="00722C4E">
        <w:rPr>
          <w:rFonts w:ascii="Arial Narrow" w:hAnsi="Arial Narrow"/>
          <w:i/>
          <w:lang w:val="es-MX"/>
        </w:rPr>
        <w:t>NOM-083-SEMARNAT-2003 Especificaciones de protección ambiental para la selección del sitio, diseño, construcción, operación, monitoreo, clausura y obras complementarias de un sitio de disposición final de residuos sólidos urbanos y de manejo especial</w:t>
      </w:r>
      <w:r w:rsidR="000A7FBD" w:rsidRPr="00722C4E">
        <w:rPr>
          <w:rFonts w:ascii="Arial Narrow" w:hAnsi="Arial Narrow"/>
          <w:lang w:val="es-MX"/>
        </w:rPr>
        <w:t>.</w:t>
      </w:r>
    </w:p>
    <w:p w14:paraId="6F4E3F60" w14:textId="1414B133" w:rsidR="00DD271F" w:rsidRPr="00722C4E" w:rsidRDefault="00DD271F" w:rsidP="00722C4E">
      <w:pPr>
        <w:pStyle w:val="Prrafodelista"/>
        <w:numPr>
          <w:ilvl w:val="0"/>
          <w:numId w:val="4"/>
        </w:numPr>
        <w:spacing w:after="120" w:line="276" w:lineRule="auto"/>
        <w:ind w:left="0" w:right="-516" w:hanging="11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b/>
          <w:lang w:val="es-MX"/>
        </w:rPr>
        <w:t>Objeto del servicio</w:t>
      </w:r>
      <w:r w:rsidRPr="00722C4E">
        <w:rPr>
          <w:rFonts w:ascii="Arial Narrow" w:hAnsi="Arial Narrow"/>
          <w:lang w:val="es-MX"/>
        </w:rPr>
        <w:t>: Que</w:t>
      </w:r>
      <w:r w:rsidR="00E352F2" w:rsidRPr="00722C4E">
        <w:rPr>
          <w:rFonts w:ascii="Arial Narrow" w:hAnsi="Arial Narrow"/>
          <w:lang w:val="es-MX"/>
        </w:rPr>
        <w:t xml:space="preserve"> la recolección, transporte y destino final de sangre animal, cumpla con las Normas Oficiales Mexicanas,</w:t>
      </w:r>
      <w:r w:rsidR="000A7FBD" w:rsidRPr="00722C4E">
        <w:rPr>
          <w:rFonts w:ascii="Arial Narrow" w:hAnsi="Arial Narrow"/>
          <w:lang w:val="es-MX"/>
        </w:rPr>
        <w:t xml:space="preserve"> protegiendo además el medio ambiente</w:t>
      </w:r>
      <w:r w:rsidRPr="00722C4E">
        <w:rPr>
          <w:rFonts w:ascii="Arial Narrow" w:hAnsi="Arial Narrow"/>
          <w:lang w:val="es-MX"/>
        </w:rPr>
        <w:t>.</w:t>
      </w:r>
    </w:p>
    <w:p w14:paraId="570E66FC" w14:textId="19453704" w:rsidR="00DD271F" w:rsidRPr="00722C4E" w:rsidRDefault="00DD271F" w:rsidP="00722C4E">
      <w:pPr>
        <w:pStyle w:val="Prrafodelista"/>
        <w:numPr>
          <w:ilvl w:val="0"/>
          <w:numId w:val="4"/>
        </w:numPr>
        <w:spacing w:after="120" w:line="276" w:lineRule="auto"/>
        <w:ind w:left="0" w:right="-516" w:hanging="11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b/>
          <w:lang w:val="es-MX"/>
        </w:rPr>
        <w:t>Especificaciones técnicas mínimas requeridas</w:t>
      </w:r>
      <w:r w:rsidRPr="00722C4E">
        <w:rPr>
          <w:rFonts w:ascii="Arial Narrow" w:hAnsi="Arial Narrow"/>
          <w:lang w:val="es-MX"/>
        </w:rPr>
        <w:t xml:space="preserve">: </w:t>
      </w:r>
      <w:r w:rsidR="000A7FBD" w:rsidRPr="00722C4E">
        <w:rPr>
          <w:rFonts w:ascii="Arial Narrow" w:hAnsi="Arial Narrow"/>
          <w:lang w:val="es-MX"/>
        </w:rPr>
        <w:t xml:space="preserve">Recolección, transporte y disposición final de residuos no peligrosos </w:t>
      </w:r>
      <w:r w:rsidR="00E352F2" w:rsidRPr="00722C4E">
        <w:rPr>
          <w:rFonts w:ascii="Arial Narrow" w:hAnsi="Arial Narrow"/>
          <w:lang w:val="es-MX"/>
        </w:rPr>
        <w:t>consistentes en sangre animal,</w:t>
      </w:r>
      <w:r w:rsidR="000A7FBD" w:rsidRPr="00722C4E">
        <w:rPr>
          <w:rFonts w:ascii="Arial Narrow" w:hAnsi="Arial Narrow"/>
          <w:lang w:val="es-MX"/>
        </w:rPr>
        <w:t xml:space="preserve"> generados en el Rastro de Guadalajara, llevando éstos a su destino final de parte de empresas certificadas, cumpliendo con la NOM-083-SEMARNAT-2003.</w:t>
      </w:r>
    </w:p>
    <w:p w14:paraId="3FDC598D" w14:textId="27244E13" w:rsidR="00D40DAC" w:rsidRPr="00722C4E" w:rsidRDefault="000A7FBD" w:rsidP="00722C4E">
      <w:pPr>
        <w:pStyle w:val="Prrafodelista"/>
        <w:numPr>
          <w:ilvl w:val="0"/>
          <w:numId w:val="5"/>
        </w:numPr>
        <w:spacing w:after="120" w:line="276" w:lineRule="auto"/>
        <w:ind w:right="-516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lang w:val="es-MX"/>
        </w:rPr>
        <w:t>El proveedor deberá proporcionar servicio de calidad dentro de los parámetros oficiales que marquen las normas sanitarias vigentes NOM-083-SEMARNAT-2003</w:t>
      </w:r>
      <w:r w:rsidR="00D40DAC" w:rsidRPr="00722C4E">
        <w:rPr>
          <w:rFonts w:ascii="Arial Narrow" w:hAnsi="Arial Narrow"/>
          <w:lang w:val="es-MX"/>
        </w:rPr>
        <w:t>.</w:t>
      </w:r>
    </w:p>
    <w:p w14:paraId="36D40752" w14:textId="7AA18CDF" w:rsidR="000A7FBD" w:rsidRPr="00722C4E" w:rsidRDefault="000A7FBD" w:rsidP="00722C4E">
      <w:pPr>
        <w:pStyle w:val="Prrafodelista"/>
        <w:numPr>
          <w:ilvl w:val="0"/>
          <w:numId w:val="5"/>
        </w:numPr>
        <w:spacing w:after="120" w:line="276" w:lineRule="auto"/>
        <w:ind w:right="-516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lang w:val="es-MX"/>
        </w:rPr>
        <w:t xml:space="preserve">El proveedor deberá comprometerse a recolectar </w:t>
      </w:r>
      <w:r w:rsidR="00E352F2" w:rsidRPr="00722C4E">
        <w:rPr>
          <w:rFonts w:ascii="Arial Narrow" w:hAnsi="Arial Narrow"/>
          <w:lang w:val="es-MX"/>
        </w:rPr>
        <w:t>la sangre de origen animal diaria</w:t>
      </w:r>
      <w:r w:rsidRPr="00722C4E">
        <w:rPr>
          <w:rFonts w:ascii="Arial Narrow" w:hAnsi="Arial Narrow"/>
          <w:lang w:val="es-MX"/>
        </w:rPr>
        <w:t>mente, manifestándolo en carta compromis</w:t>
      </w:r>
      <w:r w:rsidR="00F93F7A" w:rsidRPr="00722C4E">
        <w:rPr>
          <w:rFonts w:ascii="Arial Narrow" w:hAnsi="Arial Narrow"/>
          <w:lang w:val="es-MX"/>
        </w:rPr>
        <w:t>o</w:t>
      </w:r>
      <w:r w:rsidRPr="00722C4E">
        <w:rPr>
          <w:rFonts w:ascii="Arial Narrow" w:hAnsi="Arial Narrow"/>
          <w:lang w:val="es-MX"/>
        </w:rPr>
        <w:t>.</w:t>
      </w:r>
    </w:p>
    <w:p w14:paraId="01B4FA29" w14:textId="07F910C3" w:rsidR="000A7FBD" w:rsidRDefault="000A7FBD" w:rsidP="00722C4E">
      <w:pPr>
        <w:pStyle w:val="Prrafodelista"/>
        <w:numPr>
          <w:ilvl w:val="0"/>
          <w:numId w:val="5"/>
        </w:numPr>
        <w:spacing w:after="120" w:line="276" w:lineRule="auto"/>
        <w:ind w:right="-516"/>
        <w:contextualSpacing w:val="0"/>
        <w:jc w:val="both"/>
        <w:rPr>
          <w:rFonts w:ascii="Arial Narrow" w:hAnsi="Arial Narrow"/>
          <w:lang w:val="en-US"/>
        </w:rPr>
      </w:pPr>
      <w:r w:rsidRPr="00722C4E">
        <w:rPr>
          <w:rFonts w:ascii="Arial Narrow" w:hAnsi="Arial Narrow"/>
          <w:lang w:val="es-MX"/>
        </w:rPr>
        <w:t xml:space="preserve">El proveedor deberá tener todo su equipo en buenas condiciones y hará llegar a la Dirección del Rastro Municipal de Guadalajara, los manifiestos de servicios como la reglamentación federal y estatal en la </w:t>
      </w:r>
      <w:r w:rsidR="00927E43" w:rsidRPr="00722C4E">
        <w:rPr>
          <w:rFonts w:ascii="Arial Narrow" w:hAnsi="Arial Narrow"/>
          <w:lang w:val="es-MX"/>
        </w:rPr>
        <w:t xml:space="preserve">material, </w:t>
      </w:r>
      <w:r w:rsidRPr="00722C4E">
        <w:rPr>
          <w:rFonts w:ascii="Arial Narrow" w:hAnsi="Arial Narrow"/>
          <w:lang w:val="es-MX"/>
        </w:rPr>
        <w:t>l</w:t>
      </w:r>
      <w:r w:rsidR="00927E43" w:rsidRPr="00722C4E">
        <w:rPr>
          <w:rFonts w:ascii="Arial Narrow" w:hAnsi="Arial Narrow"/>
          <w:lang w:val="es-MX"/>
        </w:rPr>
        <w:t xml:space="preserve">o dictan. </w:t>
      </w:r>
      <w:r w:rsidRPr="00722C4E">
        <w:rPr>
          <w:rFonts w:ascii="Arial Narrow" w:hAnsi="Arial Narrow"/>
          <w:lang w:val="es-MX"/>
        </w:rPr>
        <w:t xml:space="preserve"> </w:t>
      </w:r>
      <w:r w:rsidR="00927E43">
        <w:rPr>
          <w:rFonts w:ascii="Arial Narrow" w:hAnsi="Arial Narrow"/>
          <w:lang w:val="en-US"/>
        </w:rPr>
        <w:t>NOM-083-SEMARNAT-2003.</w:t>
      </w:r>
    </w:p>
    <w:p w14:paraId="7904B7F7" w14:textId="0FAB95ED" w:rsidR="00927E43" w:rsidRPr="00722C4E" w:rsidRDefault="00927E43" w:rsidP="00722C4E">
      <w:pPr>
        <w:pStyle w:val="Prrafodelista"/>
        <w:numPr>
          <w:ilvl w:val="0"/>
          <w:numId w:val="5"/>
        </w:numPr>
        <w:spacing w:after="120" w:line="276" w:lineRule="auto"/>
        <w:ind w:right="-516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lang w:val="es-MX"/>
        </w:rPr>
        <w:t xml:space="preserve">El proveedor se compromete a brindar servicio de calidad tomando en cuenta que el servicio de recolección y disposición final de </w:t>
      </w:r>
      <w:r w:rsidR="00E352F2" w:rsidRPr="00722C4E">
        <w:rPr>
          <w:rFonts w:ascii="Arial Narrow" w:hAnsi="Arial Narrow"/>
          <w:lang w:val="es-MX"/>
        </w:rPr>
        <w:t>r</w:t>
      </w:r>
      <w:r w:rsidRPr="00722C4E">
        <w:rPr>
          <w:rFonts w:ascii="Arial Narrow" w:hAnsi="Arial Narrow"/>
          <w:lang w:val="es-MX"/>
        </w:rPr>
        <w:t>esiduos no peligr</w:t>
      </w:r>
      <w:r w:rsidR="000E77CB" w:rsidRPr="00722C4E">
        <w:rPr>
          <w:rFonts w:ascii="Arial Narrow" w:hAnsi="Arial Narrow"/>
          <w:lang w:val="es-MX"/>
        </w:rPr>
        <w:t>o</w:t>
      </w:r>
      <w:r w:rsidRPr="00722C4E">
        <w:rPr>
          <w:rFonts w:ascii="Arial Narrow" w:hAnsi="Arial Narrow"/>
          <w:lang w:val="es-MX"/>
        </w:rPr>
        <w:t>sos de manejo especial,</w:t>
      </w:r>
      <w:r w:rsidR="00E352F2" w:rsidRPr="00722C4E">
        <w:rPr>
          <w:rFonts w:ascii="Arial Narrow" w:hAnsi="Arial Narrow"/>
          <w:lang w:val="es-MX"/>
        </w:rPr>
        <w:t xml:space="preserve"> </w:t>
      </w:r>
      <w:r w:rsidRPr="00722C4E">
        <w:rPr>
          <w:rFonts w:ascii="Arial Narrow" w:hAnsi="Arial Narrow"/>
          <w:lang w:val="es-MX"/>
        </w:rPr>
        <w:t xml:space="preserve">consistentes en </w:t>
      </w:r>
      <w:r w:rsidR="00E352F2" w:rsidRPr="00722C4E">
        <w:rPr>
          <w:rFonts w:ascii="Arial Narrow" w:hAnsi="Arial Narrow"/>
          <w:lang w:val="es-MX"/>
        </w:rPr>
        <w:t>sangre de origen animal</w:t>
      </w:r>
      <w:r w:rsidRPr="00722C4E">
        <w:rPr>
          <w:rFonts w:ascii="Arial Narrow" w:hAnsi="Arial Narrow"/>
          <w:lang w:val="es-MX"/>
        </w:rPr>
        <w:t>, es un servicio regulado por las autoridades de los tres niveles de gobierno garantizando el bienestar de la sociedad NOM-083-SEMARNAT-2003.</w:t>
      </w:r>
    </w:p>
    <w:p w14:paraId="636836C0" w14:textId="65D0BC40" w:rsidR="00927E43" w:rsidRPr="00722C4E" w:rsidRDefault="00927E43" w:rsidP="00722C4E">
      <w:pPr>
        <w:pStyle w:val="Prrafodelista"/>
        <w:numPr>
          <w:ilvl w:val="0"/>
          <w:numId w:val="5"/>
        </w:numPr>
        <w:spacing w:after="120" w:line="276" w:lineRule="auto"/>
        <w:ind w:right="-516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lang w:val="es-MX"/>
        </w:rPr>
        <w:t xml:space="preserve">El proveedor deberá </w:t>
      </w:r>
      <w:r w:rsidR="00526270" w:rsidRPr="00722C4E">
        <w:rPr>
          <w:rFonts w:ascii="Arial Narrow" w:hAnsi="Arial Narrow"/>
          <w:lang w:val="es-MX"/>
        </w:rPr>
        <w:t>presentar</w:t>
      </w:r>
      <w:r w:rsidRPr="00722C4E">
        <w:rPr>
          <w:rFonts w:ascii="Arial Narrow" w:hAnsi="Arial Narrow"/>
          <w:lang w:val="es-MX"/>
        </w:rPr>
        <w:t xml:space="preserve"> su dictamen de recolección final de residuos de manejo especial, autorizado por las autoridades en la material NOM-083-SEMARNAT-2003.</w:t>
      </w:r>
    </w:p>
    <w:p w14:paraId="07090C12" w14:textId="58B607B4" w:rsidR="00927E43" w:rsidRDefault="00927E43" w:rsidP="00722C4E">
      <w:pPr>
        <w:pStyle w:val="Prrafodelista"/>
        <w:numPr>
          <w:ilvl w:val="0"/>
          <w:numId w:val="5"/>
        </w:numPr>
        <w:spacing w:after="120" w:line="276" w:lineRule="auto"/>
        <w:ind w:right="-516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lang w:val="es-MX"/>
        </w:rPr>
        <w:t xml:space="preserve">El proveedor deberá acreditar, mediante manifiestos de ley (mismos que serán entregados mes con mes a la dependencia solicitante), los trabajos de recolección, traslado y disposición final de los desechos consistentes en </w:t>
      </w:r>
      <w:r w:rsidR="00394347" w:rsidRPr="00722C4E">
        <w:rPr>
          <w:rFonts w:ascii="Arial Narrow" w:hAnsi="Arial Narrow"/>
          <w:lang w:val="es-MX"/>
        </w:rPr>
        <w:t>sangre de origen animal</w:t>
      </w:r>
      <w:r w:rsidRPr="00722C4E">
        <w:rPr>
          <w:rFonts w:ascii="Arial Narrow" w:hAnsi="Arial Narrow"/>
          <w:lang w:val="es-MX"/>
        </w:rPr>
        <w:t>, como parte de la normatividad federal vigente.</w:t>
      </w:r>
    </w:p>
    <w:p w14:paraId="0E9923A2" w14:textId="0C70CB91" w:rsidR="00722C4E" w:rsidRPr="00722C4E" w:rsidRDefault="00722C4E" w:rsidP="00722C4E">
      <w:pPr>
        <w:pStyle w:val="Prrafodelista"/>
        <w:numPr>
          <w:ilvl w:val="0"/>
          <w:numId w:val="5"/>
        </w:numPr>
        <w:spacing w:after="120" w:line="276" w:lineRule="auto"/>
        <w:ind w:right="-516"/>
        <w:contextualSpacing w:val="0"/>
        <w:jc w:val="both"/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El servicio consta de las recolecciones que sean necesarias de acuerdo a las necesidades propias de la dependencia.</w:t>
      </w:r>
    </w:p>
    <w:p w14:paraId="0D668EF2" w14:textId="46DDBB41" w:rsidR="00DD271F" w:rsidRPr="00722C4E" w:rsidRDefault="00DD271F" w:rsidP="00722C4E">
      <w:pPr>
        <w:pStyle w:val="Prrafodelista"/>
        <w:numPr>
          <w:ilvl w:val="0"/>
          <w:numId w:val="4"/>
        </w:numPr>
        <w:spacing w:after="120" w:line="276" w:lineRule="auto"/>
        <w:ind w:left="0" w:right="-516" w:hanging="11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b/>
          <w:lang w:val="es-MX"/>
        </w:rPr>
        <w:lastRenderedPageBreak/>
        <w:t>Vigencia del contrato del bien a adquirir</w:t>
      </w:r>
      <w:r w:rsidRPr="00722C4E">
        <w:rPr>
          <w:rFonts w:ascii="Arial Narrow" w:hAnsi="Arial Narrow"/>
          <w:lang w:val="es-MX"/>
        </w:rPr>
        <w:t xml:space="preserve">: </w:t>
      </w:r>
      <w:r w:rsidR="004C4088">
        <w:rPr>
          <w:rFonts w:ascii="Arial Narrow" w:hAnsi="Arial Narrow"/>
          <w:lang w:val="es-MX"/>
        </w:rPr>
        <w:t>La vigencia del contrato cerrado</w:t>
      </w:r>
      <w:r w:rsidR="004821E2" w:rsidRPr="00722C4E">
        <w:rPr>
          <w:rFonts w:ascii="Arial Narrow" w:hAnsi="Arial Narrow"/>
          <w:lang w:val="es-MX"/>
        </w:rPr>
        <w:t xml:space="preserve"> será a partir del fallo de adjudicación hasta el 31 de diciembre de 2021 o hasta agotar el techo presupuestal; haciendo mención que el presente servicio es de carácter </w:t>
      </w:r>
      <w:proofErr w:type="spellStart"/>
      <w:r w:rsidR="004821E2" w:rsidRPr="00722C4E">
        <w:rPr>
          <w:rFonts w:ascii="Arial Narrow" w:hAnsi="Arial Narrow"/>
          <w:b/>
          <w:lang w:val="es-MX"/>
        </w:rPr>
        <w:t>ininterrumpible</w:t>
      </w:r>
      <w:proofErr w:type="spellEnd"/>
      <w:r w:rsidR="004821E2" w:rsidRPr="00722C4E">
        <w:rPr>
          <w:rFonts w:ascii="Arial Narrow" w:hAnsi="Arial Narrow"/>
          <w:b/>
          <w:lang w:val="es-MX"/>
        </w:rPr>
        <w:t>.</w:t>
      </w:r>
    </w:p>
    <w:p w14:paraId="3FEB4184" w14:textId="2B182A9E" w:rsidR="00DD271F" w:rsidRPr="00722C4E" w:rsidRDefault="00DD271F" w:rsidP="00722C4E">
      <w:pPr>
        <w:pStyle w:val="Prrafodelista"/>
        <w:numPr>
          <w:ilvl w:val="0"/>
          <w:numId w:val="4"/>
        </w:numPr>
        <w:spacing w:after="120" w:line="276" w:lineRule="auto"/>
        <w:ind w:left="0" w:right="-516" w:hanging="11"/>
        <w:contextualSpacing w:val="0"/>
        <w:jc w:val="both"/>
        <w:rPr>
          <w:rFonts w:ascii="Arial Narrow" w:hAnsi="Arial Narrow"/>
          <w:lang w:val="es-MX"/>
        </w:rPr>
      </w:pPr>
      <w:r w:rsidRPr="00722C4E">
        <w:rPr>
          <w:rFonts w:ascii="Arial Narrow" w:hAnsi="Arial Narrow"/>
          <w:b/>
          <w:lang w:val="es-MX"/>
        </w:rPr>
        <w:t>Tipo de Contrato</w:t>
      </w:r>
      <w:r w:rsidR="004C4088">
        <w:rPr>
          <w:rFonts w:ascii="Arial Narrow" w:hAnsi="Arial Narrow"/>
          <w:lang w:val="es-MX"/>
        </w:rPr>
        <w:t>: Cerrado</w:t>
      </w:r>
      <w:bookmarkStart w:id="0" w:name="_GoBack"/>
      <w:bookmarkEnd w:id="0"/>
      <w:r w:rsidRPr="00722C4E">
        <w:rPr>
          <w:rFonts w:ascii="Arial Narrow" w:hAnsi="Arial Narrow"/>
          <w:lang w:val="es-MX"/>
        </w:rPr>
        <w:t>, con fundamento en el artículo 79 de la Ley de Compras Gubernamentales, Enajenaciones y Contratación de Servicios del  Estado de Jalisco y sus Municipios.</w:t>
      </w:r>
    </w:p>
    <w:p w14:paraId="687126AE" w14:textId="77777777" w:rsidR="0068381D" w:rsidRPr="00722C4E" w:rsidRDefault="0068381D" w:rsidP="00CE118F">
      <w:pPr>
        <w:spacing w:after="240" w:line="276" w:lineRule="auto"/>
        <w:ind w:right="-518"/>
        <w:contextualSpacing/>
        <w:jc w:val="both"/>
        <w:rPr>
          <w:rFonts w:ascii="Arial Narrow" w:hAnsi="Arial Narrow"/>
          <w:lang w:val="es-MX"/>
        </w:rPr>
      </w:pPr>
    </w:p>
    <w:p w14:paraId="1C6D3330" w14:textId="77777777" w:rsidR="00722C4E" w:rsidRPr="005230A3" w:rsidRDefault="00722C4E" w:rsidP="00722C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</w:rPr>
      </w:pPr>
      <w:r w:rsidRPr="005230A3">
        <w:rPr>
          <w:rFonts w:ascii="Arial" w:eastAsia="Arial" w:hAnsi="Arial" w:cs="Arial"/>
          <w:b/>
          <w:color w:val="000000"/>
        </w:rPr>
        <w:t>Catálogos de servicios</w:t>
      </w: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1215"/>
        <w:gridCol w:w="3799"/>
        <w:gridCol w:w="1381"/>
        <w:gridCol w:w="2109"/>
      </w:tblGrid>
      <w:tr w:rsidR="00722C4E" w:rsidRPr="005230A3" w14:paraId="540099EA" w14:textId="77777777" w:rsidTr="000419FC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24517D26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722C4E">
              <w:rPr>
                <w:rFonts w:ascii="Arial" w:eastAsia="Arial" w:hAnsi="Arial" w:cs="Arial"/>
                <w:b/>
                <w:sz w:val="22"/>
              </w:rPr>
              <w:t>Numero de concepto.</w:t>
            </w:r>
          </w:p>
        </w:tc>
        <w:tc>
          <w:tcPr>
            <w:tcW w:w="1215" w:type="dxa"/>
            <w:vAlign w:val="center"/>
          </w:tcPr>
          <w:p w14:paraId="653AE3EF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1F472C75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722C4E">
              <w:rPr>
                <w:rFonts w:ascii="Arial" w:eastAsia="Arial" w:hAnsi="Arial" w:cs="Arial"/>
                <w:b/>
                <w:sz w:val="22"/>
              </w:rPr>
              <w:t>PARTIDA</w:t>
            </w:r>
          </w:p>
          <w:p w14:paraId="088135CF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5FFA0D9B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722C4E">
              <w:rPr>
                <w:rFonts w:ascii="Arial" w:eastAsia="Arial" w:hAnsi="Arial" w:cs="Arial"/>
                <w:b/>
                <w:sz w:val="22"/>
              </w:rPr>
              <w:t xml:space="preserve">DESCRIPCIÓN DEL SERVICIO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6E8D11F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722C4E">
              <w:rPr>
                <w:rFonts w:ascii="Arial" w:eastAsia="Arial" w:hAnsi="Arial" w:cs="Arial"/>
                <w:b/>
                <w:sz w:val="22"/>
              </w:rPr>
              <w:t>CANTIDAD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CAB559E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722C4E">
              <w:rPr>
                <w:rFonts w:ascii="Arial" w:eastAsia="Arial" w:hAnsi="Arial" w:cs="Arial"/>
                <w:b/>
                <w:sz w:val="22"/>
              </w:rPr>
              <w:t>UNIDAD DE MEDIDA</w:t>
            </w:r>
          </w:p>
        </w:tc>
      </w:tr>
      <w:tr w:rsidR="00722C4E" w:rsidRPr="005230A3" w14:paraId="273C656E" w14:textId="77777777" w:rsidTr="000419FC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361D8817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722C4E"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215" w:type="dxa"/>
            <w:vAlign w:val="center"/>
          </w:tcPr>
          <w:p w14:paraId="25FAAB48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722C4E">
              <w:rPr>
                <w:rFonts w:ascii="Arial" w:eastAsia="Arial" w:hAnsi="Arial" w:cs="Arial"/>
                <w:sz w:val="18"/>
              </w:rPr>
              <w:t>3591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6747B924" w14:textId="005645ED" w:rsidR="00722C4E" w:rsidRPr="00A23ED7" w:rsidRDefault="00722C4E" w:rsidP="008F08E7">
            <w:pPr>
              <w:jc w:val="center"/>
              <w:rPr>
                <w:rFonts w:ascii="Arial" w:eastAsia="Arial" w:hAnsi="Arial" w:cs="Arial"/>
                <w:color w:val="FF0000"/>
                <w:sz w:val="18"/>
              </w:rPr>
            </w:pPr>
            <w:r w:rsidRPr="00722C4E">
              <w:rPr>
                <w:sz w:val="18"/>
              </w:rPr>
              <w:t>RECOLECCION TRANSPORTE Y DISPOSICION FINAL DE RESIDUOS NO PE</w:t>
            </w:r>
            <w:r w:rsidR="00526270">
              <w:rPr>
                <w:sz w:val="18"/>
              </w:rPr>
              <w:t>LIGROSOS DE MANEJO ESPECIAL (SANGRE), PARA EL MES</w:t>
            </w:r>
            <w:r w:rsidRPr="00722C4E">
              <w:rPr>
                <w:sz w:val="18"/>
              </w:rPr>
              <w:t xml:space="preserve"> DE</w:t>
            </w:r>
            <w:r w:rsidR="00A23ED7">
              <w:rPr>
                <w:sz w:val="18"/>
              </w:rPr>
              <w:t xml:space="preserve"> NOVIEMBRE Y DICIEMBRE </w:t>
            </w:r>
            <w:r w:rsidR="00526270">
              <w:rPr>
                <w:sz w:val="18"/>
              </w:rPr>
              <w:t xml:space="preserve"> DEL AÑO EN CURSO</w:t>
            </w:r>
            <w:r w:rsidRPr="00722C4E">
              <w:rPr>
                <w:sz w:val="18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45968873" w14:textId="1319659B" w:rsidR="00722C4E" w:rsidRPr="00722C4E" w:rsidRDefault="008F08E7" w:rsidP="000419FC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AFD6C9C" w14:textId="77777777" w:rsidR="00722C4E" w:rsidRPr="00722C4E" w:rsidRDefault="00722C4E" w:rsidP="000419FC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722C4E">
              <w:rPr>
                <w:rFonts w:ascii="Arial" w:eastAsia="Arial" w:hAnsi="Arial" w:cs="Arial"/>
                <w:sz w:val="18"/>
              </w:rPr>
              <w:t>Servicio</w:t>
            </w:r>
          </w:p>
        </w:tc>
      </w:tr>
    </w:tbl>
    <w:p w14:paraId="7CE10AD9" w14:textId="77777777" w:rsidR="00722C4E" w:rsidRDefault="00722C4E" w:rsidP="00722C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06A2802" w14:textId="77777777" w:rsidR="00722C4E" w:rsidRPr="005230A3" w:rsidRDefault="00722C4E" w:rsidP="00722C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E493885" w14:textId="6C07241B" w:rsidR="00722C4E" w:rsidRPr="00722C4E" w:rsidRDefault="00722C4E" w:rsidP="00722C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smallCaps/>
        </w:rPr>
      </w:pPr>
      <w:r w:rsidRPr="00722C4E">
        <w:rPr>
          <w:rFonts w:ascii="Arial" w:eastAsia="Arial" w:hAnsi="Arial" w:cs="Arial"/>
          <w:b/>
          <w:color w:val="000000"/>
        </w:rPr>
        <w:t xml:space="preserve">Criterios de evaluación: </w:t>
      </w:r>
    </w:p>
    <w:tbl>
      <w:tblPr>
        <w:tblW w:w="9948" w:type="dxa"/>
        <w:tblInd w:w="-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6111"/>
        <w:gridCol w:w="1251"/>
        <w:gridCol w:w="1335"/>
      </w:tblGrid>
      <w:tr w:rsidR="00722C4E" w:rsidRPr="002B5776" w14:paraId="09A2EA23" w14:textId="77777777" w:rsidTr="000419FC">
        <w:trPr>
          <w:trHeight w:val="30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A1969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No.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07DBBD8" w14:textId="77777777" w:rsidR="00722C4E" w:rsidRPr="002B5776" w:rsidRDefault="00722C4E" w:rsidP="000419F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Criterio de Evaluación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C1A20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Porcentaje</w:t>
            </w:r>
          </w:p>
        </w:tc>
      </w:tr>
      <w:tr w:rsidR="00722C4E" w:rsidRPr="002B5776" w14:paraId="1EC9F3C7" w14:textId="77777777" w:rsidTr="000419FC">
        <w:trPr>
          <w:trHeight w:val="307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F025" w14:textId="77777777" w:rsidR="00722C4E" w:rsidRPr="002B5776" w:rsidRDefault="00722C4E" w:rsidP="000419F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959476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Especialidad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D1E41" w14:textId="1EF4FEAE" w:rsidR="00722C4E" w:rsidRPr="00722C4E" w:rsidRDefault="00722C4E" w:rsidP="000419FC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  <w:lang w:val="es-MX" w:eastAsia="es-MX"/>
              </w:rPr>
            </w:pPr>
            <w:r w:rsidRPr="00722C4E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  <w:lang w:val="es-MX" w:eastAsia="es-MX"/>
              </w:rPr>
              <w:t>15%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5D9C" w14:textId="6C346E92" w:rsidR="00722C4E" w:rsidRPr="002B5776" w:rsidRDefault="00722C4E" w:rsidP="00722C4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</w:t>
            </w: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722C4E" w:rsidRPr="002B5776" w14:paraId="7B1C86ED" w14:textId="77777777" w:rsidTr="000419FC">
        <w:trPr>
          <w:trHeight w:val="307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9E56C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328B0" w14:textId="77777777" w:rsidR="00722C4E" w:rsidRPr="002B5776" w:rsidRDefault="00722C4E" w:rsidP="00722C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Deberá acreditar que se especializa en el tipo de servicio solicitado</w:t>
            </w: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CDA95" w14:textId="77777777" w:rsidR="00722C4E" w:rsidRPr="002B5776" w:rsidRDefault="00722C4E" w:rsidP="00722C4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A3629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722C4E" w:rsidRPr="002B5776" w14:paraId="54C9617B" w14:textId="77777777" w:rsidTr="000419FC">
        <w:trPr>
          <w:trHeight w:val="613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12F9B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C0A60" w14:textId="77777777" w:rsidR="00722C4E" w:rsidRPr="002B5776" w:rsidRDefault="00722C4E" w:rsidP="00722C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1.1 Acreditar que se especializa en el tipo de servicio solicitado, mediante evidencia fotográfica referenciada en CV.</w:t>
            </w: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6E023" w14:textId="77777777" w:rsidR="00722C4E" w:rsidRPr="002B5776" w:rsidRDefault="00722C4E" w:rsidP="00722C4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181B3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722C4E" w:rsidRPr="002B5776" w14:paraId="00C4C0F6" w14:textId="77777777" w:rsidTr="000419FC">
        <w:trPr>
          <w:trHeight w:val="690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D8107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BBF1D" w14:textId="77777777" w:rsidR="00722C4E" w:rsidRPr="002B5776" w:rsidRDefault="00722C4E" w:rsidP="00722C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1.2 Contrato de presentación de servicios similar en m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agnitud y tipo de servicio y/o las licenc</w:t>
            </w: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ias de giro y ambientales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7FA6" w14:textId="58B6BAB5" w:rsidR="00722C4E" w:rsidRPr="002B5776" w:rsidRDefault="00722C4E" w:rsidP="00722C4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15</w:t>
            </w: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0BB0C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722C4E" w:rsidRPr="002B5776" w14:paraId="2C80E1AA" w14:textId="77777777" w:rsidTr="000419FC">
        <w:trPr>
          <w:trHeight w:val="30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723B" w14:textId="54DFC33A" w:rsidR="00722C4E" w:rsidRPr="00722C4E" w:rsidRDefault="00722C4E" w:rsidP="00722C4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722C4E">
              <w:rPr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27517C49" w14:textId="77777777" w:rsidR="00722C4E" w:rsidRPr="00722C4E" w:rsidRDefault="00722C4E" w:rsidP="00722C4E">
            <w:pPr>
              <w:pStyle w:val="Sinespaciado"/>
            </w:pPr>
            <w:r w:rsidRPr="00722C4E">
              <w:t>Experiencia</w:t>
            </w:r>
          </w:p>
          <w:p w14:paraId="113043BD" w14:textId="7C19CBCA" w:rsidR="00722C4E" w:rsidRPr="00722C4E" w:rsidRDefault="00722C4E" w:rsidP="00722C4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22C4E">
              <w:rPr>
                <w:sz w:val="22"/>
                <w:szCs w:val="22"/>
              </w:rPr>
              <w:t>El proveedor deberá presentar evidencia escrita de los años que tiene dando este tipo de servicios.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5858" w14:textId="04AC0B55" w:rsidR="00722C4E" w:rsidRPr="00722C4E" w:rsidRDefault="00722C4E" w:rsidP="00722C4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722C4E">
              <w:rPr>
                <w:sz w:val="22"/>
                <w:szCs w:val="22"/>
                <w:lang w:val="es-MX"/>
              </w:rPr>
              <w:t>30%</w:t>
            </w:r>
          </w:p>
        </w:tc>
      </w:tr>
      <w:tr w:rsidR="00722C4E" w:rsidRPr="002B5776" w14:paraId="04AA7E25" w14:textId="77777777" w:rsidTr="000419FC">
        <w:trPr>
          <w:trHeight w:val="307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4BC0" w14:textId="28D695A8" w:rsidR="00722C4E" w:rsidRPr="002B5776" w:rsidRDefault="00722C4E" w:rsidP="000419F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05C8EF" w14:textId="77777777" w:rsidR="00722C4E" w:rsidRPr="00CA24AD" w:rsidRDefault="00722C4E" w:rsidP="00722C4E">
            <w:pP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  <w:lang w:val="es-MX" w:eastAsia="es-MX"/>
              </w:rPr>
            </w:pPr>
            <w:r w:rsidRPr="00CA24AD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  <w:lang w:val="es-MX" w:eastAsia="es-MX"/>
              </w:rPr>
              <w:t>Precio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6968" w14:textId="5BF92BC6" w:rsidR="00722C4E" w:rsidRPr="002B5776" w:rsidRDefault="00722C4E" w:rsidP="00722C4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4</w:t>
            </w: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722C4E" w:rsidRPr="002B5776" w14:paraId="18473ACF" w14:textId="77777777" w:rsidTr="000419FC">
        <w:trPr>
          <w:trHeight w:val="307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6103C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73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998984" w14:textId="77777777" w:rsidR="00722C4E" w:rsidRPr="002B5776" w:rsidRDefault="00722C4E" w:rsidP="00722C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 xml:space="preserve">Mismo que será evaluado por el área centralizada de compras 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5DE0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722C4E" w:rsidRPr="002B5776" w14:paraId="2FECCA98" w14:textId="77777777" w:rsidTr="000419FC">
        <w:trPr>
          <w:trHeight w:val="307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7E845" w14:textId="77777777" w:rsidR="00722C4E" w:rsidRPr="002B5776" w:rsidRDefault="00722C4E" w:rsidP="000419F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Total de la evaluación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68D6F" w14:textId="77777777" w:rsidR="00722C4E" w:rsidRPr="002B5776" w:rsidRDefault="00722C4E" w:rsidP="000419FC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</w:pPr>
            <w:r w:rsidRPr="002B577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p w14:paraId="2A24F8F2" w14:textId="77777777" w:rsidR="00722C4E" w:rsidRDefault="00722C4E" w:rsidP="00722C4E">
      <w:pPr>
        <w:rPr>
          <w:rFonts w:ascii="Arial" w:hAnsi="Arial" w:cs="Arial"/>
        </w:rPr>
      </w:pPr>
    </w:p>
    <w:p w14:paraId="676F1994" w14:textId="77777777" w:rsidR="00722C4E" w:rsidRDefault="00722C4E" w:rsidP="00722C4E">
      <w:pPr>
        <w:rPr>
          <w:rFonts w:ascii="Arial" w:hAnsi="Arial" w:cs="Arial"/>
        </w:rPr>
      </w:pPr>
    </w:p>
    <w:p w14:paraId="2C352F6A" w14:textId="77777777" w:rsidR="00722C4E" w:rsidRPr="005230A3" w:rsidRDefault="00722C4E" w:rsidP="00722C4E">
      <w:pPr>
        <w:ind w:firstLine="708"/>
        <w:jc w:val="center"/>
        <w:rPr>
          <w:rFonts w:ascii="Arial" w:hAnsi="Arial" w:cs="Arial"/>
        </w:rPr>
      </w:pPr>
      <w:r w:rsidRPr="005230A3">
        <w:rPr>
          <w:rFonts w:ascii="Arial" w:hAnsi="Arial" w:cs="Arial"/>
        </w:rPr>
        <w:t>Atentamente</w:t>
      </w:r>
    </w:p>
    <w:p w14:paraId="0F68B786" w14:textId="77777777" w:rsidR="00722C4E" w:rsidRDefault="00722C4E" w:rsidP="00722C4E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Guadalajara, Jalisco a 20 de Octubre</w:t>
      </w:r>
      <w:r w:rsidRPr="005230A3">
        <w:rPr>
          <w:rFonts w:ascii="Arial" w:hAnsi="Arial" w:cs="Arial"/>
        </w:rPr>
        <w:t xml:space="preserve"> del 2021.</w:t>
      </w:r>
    </w:p>
    <w:p w14:paraId="3F554421" w14:textId="77777777" w:rsidR="00722C4E" w:rsidRDefault="00722C4E" w:rsidP="00722C4E">
      <w:pPr>
        <w:ind w:firstLine="708"/>
        <w:jc w:val="center"/>
        <w:rPr>
          <w:rFonts w:ascii="Arial" w:hAnsi="Arial" w:cs="Arial"/>
        </w:rPr>
      </w:pPr>
    </w:p>
    <w:p w14:paraId="7EC62FDB" w14:textId="77777777" w:rsidR="00722C4E" w:rsidRDefault="00722C4E" w:rsidP="00722C4E">
      <w:pPr>
        <w:ind w:firstLine="708"/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816"/>
        <w:tblW w:w="9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49"/>
      </w:tblGrid>
      <w:tr w:rsidR="00722C4E" w:rsidRPr="005230A3" w14:paraId="1700C6B1" w14:textId="77777777" w:rsidTr="00722C4E">
        <w:trPr>
          <w:trHeight w:val="284"/>
        </w:trPr>
        <w:tc>
          <w:tcPr>
            <w:tcW w:w="4503" w:type="dxa"/>
          </w:tcPr>
          <w:p w14:paraId="1426DE05" w14:textId="77777777" w:rsidR="00722C4E" w:rsidRPr="005230A3" w:rsidRDefault="00722C4E" w:rsidP="000419FC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MVZ. ARMANDO REYNOSO GONZALEZ</w:t>
            </w:r>
          </w:p>
        </w:tc>
        <w:tc>
          <w:tcPr>
            <w:tcW w:w="4949" w:type="dxa"/>
          </w:tcPr>
          <w:p w14:paraId="32202A3A" w14:textId="77777777" w:rsidR="00722C4E" w:rsidRPr="005230A3" w:rsidRDefault="00722C4E" w:rsidP="000419FC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OCTAVIO MICHEL CAMACHO</w:t>
            </w:r>
          </w:p>
        </w:tc>
      </w:tr>
      <w:tr w:rsidR="00722C4E" w:rsidRPr="005230A3" w14:paraId="7DE7844A" w14:textId="77777777" w:rsidTr="00722C4E">
        <w:trPr>
          <w:trHeight w:val="635"/>
        </w:trPr>
        <w:tc>
          <w:tcPr>
            <w:tcW w:w="4503" w:type="dxa"/>
          </w:tcPr>
          <w:p w14:paraId="13D3430E" w14:textId="77777777" w:rsidR="00722C4E" w:rsidRPr="002B5776" w:rsidRDefault="00722C4E" w:rsidP="000419FC">
            <w:pPr>
              <w:jc w:val="center"/>
              <w:rPr>
                <w:b/>
              </w:rPr>
            </w:pPr>
            <w:r>
              <w:rPr>
                <w:b/>
              </w:rPr>
              <w:t xml:space="preserve">DIRECTOR DEL RASTRO MUNICIPAL  </w:t>
            </w:r>
          </w:p>
        </w:tc>
        <w:tc>
          <w:tcPr>
            <w:tcW w:w="4949" w:type="dxa"/>
          </w:tcPr>
          <w:p w14:paraId="2AC01FE4" w14:textId="77777777" w:rsidR="00722C4E" w:rsidRPr="005371D6" w:rsidRDefault="00722C4E" w:rsidP="000419FC">
            <w:pPr>
              <w:pStyle w:val="Sinespaciado"/>
              <w:jc w:val="center"/>
              <w:rPr>
                <w:rFonts w:ascii="Calibri" w:hAnsi="Calibri" w:cs="Calibri"/>
                <w:b/>
              </w:rPr>
            </w:pPr>
            <w:r w:rsidRPr="005371D6">
              <w:rPr>
                <w:rFonts w:ascii="Calibri" w:hAnsi="Calibri" w:cs="Calibri"/>
                <w:b/>
              </w:rPr>
              <w:t>ENLACE ADMINISTRATIVO</w:t>
            </w:r>
            <w:r>
              <w:rPr>
                <w:rFonts w:ascii="Calibri" w:hAnsi="Calibri" w:cs="Calibri"/>
                <w:b/>
              </w:rPr>
              <w:t xml:space="preserve"> DEL RASTRO</w:t>
            </w:r>
          </w:p>
          <w:p w14:paraId="27944353" w14:textId="77777777" w:rsidR="00722C4E" w:rsidRPr="005230A3" w:rsidRDefault="00722C4E" w:rsidP="000419FC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03435D74" w14:textId="77777777" w:rsidR="00722C4E" w:rsidRPr="00722C4E" w:rsidRDefault="00722C4E" w:rsidP="001F03DD">
      <w:pPr>
        <w:spacing w:line="276" w:lineRule="auto"/>
        <w:jc w:val="both"/>
        <w:rPr>
          <w:rFonts w:ascii="Arial Narrow" w:hAnsi="Arial Narrow"/>
          <w:lang w:val="es-MX"/>
        </w:rPr>
      </w:pPr>
    </w:p>
    <w:sectPr w:rsidR="00722C4E" w:rsidRPr="00722C4E" w:rsidSect="00722C4E">
      <w:headerReference w:type="even" r:id="rId9"/>
      <w:headerReference w:type="first" r:id="rId1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BCE00" w14:textId="77777777" w:rsidR="00085512" w:rsidRDefault="00085512" w:rsidP="00910665">
      <w:r>
        <w:separator/>
      </w:r>
    </w:p>
  </w:endnote>
  <w:endnote w:type="continuationSeparator" w:id="0">
    <w:p w14:paraId="4FFAD4C2" w14:textId="77777777" w:rsidR="00085512" w:rsidRDefault="00085512" w:rsidP="0091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AD468" w14:textId="77777777" w:rsidR="00085512" w:rsidRDefault="00085512" w:rsidP="00910665">
      <w:r>
        <w:separator/>
      </w:r>
    </w:p>
  </w:footnote>
  <w:footnote w:type="continuationSeparator" w:id="0">
    <w:p w14:paraId="0DAA315A" w14:textId="77777777" w:rsidR="00085512" w:rsidRDefault="00085512" w:rsidP="0091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CF6BF" w14:textId="5E598ED8" w:rsidR="00910665" w:rsidRDefault="004C4088">
    <w:pPr>
      <w:pStyle w:val="Encabezado"/>
    </w:pPr>
    <w:r>
      <w:rPr>
        <w:noProof/>
        <w:lang w:val="es-ES"/>
      </w:rPr>
      <w:pict w14:anchorId="2CC9C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233197" o:spid="_x0000_s2053" type="#_x0000_t75" alt="/Users/MacBookPro/Downloads/rehojasmembretadas/Hoja_Serv_P_Mn_Rastro_Carta-01.jpg" style="position:absolute;margin-left:0;margin-top:0;width:612pt;height:11in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_Serv_P_Mn_Rastro_Carta-01"/>
          <w10:wrap anchorx="margin" anchory="margin"/>
        </v:shape>
      </w:pict>
    </w:r>
    <w:r>
      <w:rPr>
        <w:noProof/>
        <w:lang w:val="es-ES"/>
      </w:rPr>
      <w:pict w14:anchorId="57EC1D62">
        <v:shape id="_x0000_s2052" type="#_x0000_t75" alt="/Users/macbook/Downloads/HM_Archivo Mpal_Carta-01.jpg" style="position:absolute;margin-left:0;margin-top:0;width:612pt;height:11in;z-index:-251654144;mso-wrap-edited:f;mso-width-percent:0;mso-height-percent:0;mso-position-horizontal:center;mso-position-horizontal-relative:margin;mso-position-vertical:center;mso-position-vertical-relative:margin;mso-width-percent:0;mso-height-percent:0" wrapcoords="-26 0 -26 21580 21600 21580 21600 0 -26 0">
          <v:imagedata r:id="rId2" o:title="HM_Archivo Mpal_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FBF77" w14:textId="7429D0D5" w:rsidR="00910665" w:rsidRDefault="004C4088">
    <w:pPr>
      <w:pStyle w:val="Encabezado"/>
    </w:pPr>
    <w:r>
      <w:rPr>
        <w:noProof/>
        <w:lang w:val="es-ES"/>
      </w:rPr>
      <w:pict w14:anchorId="033D7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233196" o:spid="_x0000_s2050" type="#_x0000_t75" alt="/Users/MacBookPro/Downloads/rehojasmembretadas/Hoja_Serv_P_Mn_Rastro_Carta-01.jpg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_Serv_P_Mn_Rastro_Carta-01"/>
          <w10:wrap anchorx="margin" anchory="margin"/>
        </v:shape>
      </w:pict>
    </w:r>
    <w:r>
      <w:rPr>
        <w:noProof/>
        <w:lang w:val="es-ES"/>
      </w:rPr>
      <w:pict w14:anchorId="0731EB5F">
        <v:shape id="_x0000_s2049" type="#_x0000_t75" alt="/Users/macbook/Downloads/HM_Archivo Mpal_Carta-01.jpg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wrapcoords="-26 0 -26 21580 21600 21580 21600 0 -26 0">
          <v:imagedata r:id="rId2" o:title="HM_Archivo Mpal_Cart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050D"/>
    <w:multiLevelType w:val="hybridMultilevel"/>
    <w:tmpl w:val="F3BC2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A1B7F"/>
    <w:multiLevelType w:val="hybridMultilevel"/>
    <w:tmpl w:val="1088B7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51281"/>
    <w:multiLevelType w:val="hybridMultilevel"/>
    <w:tmpl w:val="10DC405A"/>
    <w:lvl w:ilvl="0" w:tplc="D9BCA2DA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243D43"/>
    <w:multiLevelType w:val="hybridMultilevel"/>
    <w:tmpl w:val="DFF8D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37DDE"/>
    <w:multiLevelType w:val="hybridMultilevel"/>
    <w:tmpl w:val="E8604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65"/>
    <w:rsid w:val="00056CA3"/>
    <w:rsid w:val="00071716"/>
    <w:rsid w:val="00073D65"/>
    <w:rsid w:val="000751E5"/>
    <w:rsid w:val="00085512"/>
    <w:rsid w:val="000A0A22"/>
    <w:rsid w:val="000A7FBD"/>
    <w:rsid w:val="000B3B86"/>
    <w:rsid w:val="000E77CB"/>
    <w:rsid w:val="0011168B"/>
    <w:rsid w:val="001252B8"/>
    <w:rsid w:val="0013239A"/>
    <w:rsid w:val="00156E1E"/>
    <w:rsid w:val="001633F5"/>
    <w:rsid w:val="00163E2B"/>
    <w:rsid w:val="00187FF5"/>
    <w:rsid w:val="001A5DF2"/>
    <w:rsid w:val="001B43DF"/>
    <w:rsid w:val="001C7223"/>
    <w:rsid w:val="001F03DD"/>
    <w:rsid w:val="002177EF"/>
    <w:rsid w:val="0025436F"/>
    <w:rsid w:val="00272D4B"/>
    <w:rsid w:val="00277D99"/>
    <w:rsid w:val="002939A2"/>
    <w:rsid w:val="00295DC3"/>
    <w:rsid w:val="002B4233"/>
    <w:rsid w:val="002B4463"/>
    <w:rsid w:val="002F347F"/>
    <w:rsid w:val="00303178"/>
    <w:rsid w:val="003220BD"/>
    <w:rsid w:val="00334C46"/>
    <w:rsid w:val="003406B3"/>
    <w:rsid w:val="00362004"/>
    <w:rsid w:val="00383CE6"/>
    <w:rsid w:val="00392086"/>
    <w:rsid w:val="00394347"/>
    <w:rsid w:val="003B4BD2"/>
    <w:rsid w:val="003E0123"/>
    <w:rsid w:val="00413837"/>
    <w:rsid w:val="0043798A"/>
    <w:rsid w:val="0044021E"/>
    <w:rsid w:val="00456706"/>
    <w:rsid w:val="00480C4B"/>
    <w:rsid w:val="004821E2"/>
    <w:rsid w:val="004B1933"/>
    <w:rsid w:val="004C3CBA"/>
    <w:rsid w:val="004C4088"/>
    <w:rsid w:val="004D3DC9"/>
    <w:rsid w:val="004E441B"/>
    <w:rsid w:val="00513920"/>
    <w:rsid w:val="00517BBE"/>
    <w:rsid w:val="00526270"/>
    <w:rsid w:val="00572AB1"/>
    <w:rsid w:val="00584932"/>
    <w:rsid w:val="005D31DA"/>
    <w:rsid w:val="005E5998"/>
    <w:rsid w:val="006050CB"/>
    <w:rsid w:val="006309A8"/>
    <w:rsid w:val="00632A27"/>
    <w:rsid w:val="00653505"/>
    <w:rsid w:val="00657C1E"/>
    <w:rsid w:val="00667CB9"/>
    <w:rsid w:val="0068381D"/>
    <w:rsid w:val="006C0C66"/>
    <w:rsid w:val="006D7A2C"/>
    <w:rsid w:val="0072222C"/>
    <w:rsid w:val="00722C4E"/>
    <w:rsid w:val="00723789"/>
    <w:rsid w:val="00726C8F"/>
    <w:rsid w:val="00741F1C"/>
    <w:rsid w:val="00747117"/>
    <w:rsid w:val="00784458"/>
    <w:rsid w:val="007A0EB2"/>
    <w:rsid w:val="007A7C79"/>
    <w:rsid w:val="007B0850"/>
    <w:rsid w:val="007B35DF"/>
    <w:rsid w:val="007C7242"/>
    <w:rsid w:val="008016CF"/>
    <w:rsid w:val="00816081"/>
    <w:rsid w:val="008652A9"/>
    <w:rsid w:val="0088069B"/>
    <w:rsid w:val="008C4F3E"/>
    <w:rsid w:val="008E7CB6"/>
    <w:rsid w:val="008F08E7"/>
    <w:rsid w:val="008F5C75"/>
    <w:rsid w:val="00903EF9"/>
    <w:rsid w:val="00910665"/>
    <w:rsid w:val="00927E43"/>
    <w:rsid w:val="00961764"/>
    <w:rsid w:val="00964A18"/>
    <w:rsid w:val="0098003F"/>
    <w:rsid w:val="00997DE0"/>
    <w:rsid w:val="009C4E42"/>
    <w:rsid w:val="00A004F0"/>
    <w:rsid w:val="00A23ED7"/>
    <w:rsid w:val="00A24D72"/>
    <w:rsid w:val="00A35A64"/>
    <w:rsid w:val="00A71D4E"/>
    <w:rsid w:val="00A9426A"/>
    <w:rsid w:val="00AB37BE"/>
    <w:rsid w:val="00AD6826"/>
    <w:rsid w:val="00AE5BA5"/>
    <w:rsid w:val="00B75DFD"/>
    <w:rsid w:val="00B95AD2"/>
    <w:rsid w:val="00BD4C6B"/>
    <w:rsid w:val="00C04A77"/>
    <w:rsid w:val="00C07547"/>
    <w:rsid w:val="00C40E38"/>
    <w:rsid w:val="00C51C37"/>
    <w:rsid w:val="00CA24AD"/>
    <w:rsid w:val="00CA4510"/>
    <w:rsid w:val="00CB749D"/>
    <w:rsid w:val="00CD05C4"/>
    <w:rsid w:val="00CD280A"/>
    <w:rsid w:val="00CE118F"/>
    <w:rsid w:val="00CF633B"/>
    <w:rsid w:val="00D01A4C"/>
    <w:rsid w:val="00D12830"/>
    <w:rsid w:val="00D3346D"/>
    <w:rsid w:val="00D40DAC"/>
    <w:rsid w:val="00D50F17"/>
    <w:rsid w:val="00D661DE"/>
    <w:rsid w:val="00D7072E"/>
    <w:rsid w:val="00D913B7"/>
    <w:rsid w:val="00DB5E67"/>
    <w:rsid w:val="00DD271F"/>
    <w:rsid w:val="00DF7EA3"/>
    <w:rsid w:val="00E0389D"/>
    <w:rsid w:val="00E352F2"/>
    <w:rsid w:val="00E51FCD"/>
    <w:rsid w:val="00E7594C"/>
    <w:rsid w:val="00EB1792"/>
    <w:rsid w:val="00EB75D4"/>
    <w:rsid w:val="00ED0A79"/>
    <w:rsid w:val="00ED3BA2"/>
    <w:rsid w:val="00EF618B"/>
    <w:rsid w:val="00F065E1"/>
    <w:rsid w:val="00F21352"/>
    <w:rsid w:val="00F23853"/>
    <w:rsid w:val="00F248BF"/>
    <w:rsid w:val="00F263B1"/>
    <w:rsid w:val="00F3521A"/>
    <w:rsid w:val="00F44469"/>
    <w:rsid w:val="00F455BA"/>
    <w:rsid w:val="00F57023"/>
    <w:rsid w:val="00F6015F"/>
    <w:rsid w:val="00F93BB3"/>
    <w:rsid w:val="00F93F7A"/>
    <w:rsid w:val="00FB5061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A08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6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66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665"/>
    <w:rPr>
      <w:lang w:val="es-ES_tradnl"/>
    </w:rPr>
  </w:style>
  <w:style w:type="paragraph" w:styleId="Prrafodelista">
    <w:name w:val="List Paragraph"/>
    <w:basedOn w:val="Normal"/>
    <w:uiPriority w:val="34"/>
    <w:qFormat/>
    <w:rsid w:val="00A00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DD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60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22C4E"/>
    <w:rPr>
      <w:rFonts w:eastAsiaTheme="minorHAns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22C4E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6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66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665"/>
    <w:rPr>
      <w:lang w:val="es-ES_tradnl"/>
    </w:rPr>
  </w:style>
  <w:style w:type="paragraph" w:styleId="Prrafodelista">
    <w:name w:val="List Paragraph"/>
    <w:basedOn w:val="Normal"/>
    <w:uiPriority w:val="34"/>
    <w:qFormat/>
    <w:rsid w:val="00A00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DD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60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22C4E"/>
    <w:rPr>
      <w:rFonts w:eastAsiaTheme="minorHAns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22C4E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8B24-9682-45B7-B385-BF2494A7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Dueñas Fernandez Martha Cecilia</cp:lastModifiedBy>
  <cp:revision>2</cp:revision>
  <cp:lastPrinted>2021-10-29T14:34:00Z</cp:lastPrinted>
  <dcterms:created xsi:type="dcterms:W3CDTF">2021-11-18T23:07:00Z</dcterms:created>
  <dcterms:modified xsi:type="dcterms:W3CDTF">2021-11-18T23:07:00Z</dcterms:modified>
</cp:coreProperties>
</file>